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ADC" w:rsidRDefault="009A0F52">
      <w:pPr>
        <w:spacing w:after="0"/>
        <w:jc w:val="center"/>
      </w:pPr>
      <w:bookmarkStart w:id="0" w:name="_GoBack"/>
      <w:bookmarkEnd w:id="0"/>
      <w:r>
        <w:rPr>
          <w:rStyle w:val="CALIBRIBOLD16"/>
        </w:rPr>
        <w:t>IZVJEŠTAJ RECENZENTA ZA STUDIJSKI PROGRAM</w:t>
      </w:r>
    </w:p>
    <w:p w:rsidR="00205ADC" w:rsidRDefault="00205ADC"/>
    <w:tbl>
      <w:tblPr>
        <w:tblStyle w:val="tblP"/>
        <w:tblW w:w="0" w:type="auto"/>
        <w:tblInd w:w="50" w:type="dxa"/>
        <w:tblLook w:val="04A0" w:firstRow="1" w:lastRow="0" w:firstColumn="1" w:lastColumn="0" w:noHBand="0" w:noVBand="1"/>
      </w:tblPr>
      <w:tblGrid>
        <w:gridCol w:w="3680"/>
        <w:gridCol w:w="921"/>
        <w:gridCol w:w="912"/>
        <w:gridCol w:w="4541"/>
      </w:tblGrid>
      <w:tr w:rsidR="00205ADC">
        <w:trPr>
          <w:trHeight w:val="300"/>
        </w:trPr>
        <w:tc>
          <w:tcPr>
            <w:tcW w:w="1100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0000"/>
            <w:vAlign w:val="center"/>
          </w:tcPr>
          <w:p w:rsidR="00205ADC" w:rsidRDefault="009A0F52">
            <w:pPr>
              <w:spacing w:after="0"/>
            </w:pPr>
            <w:r>
              <w:rPr>
                <w:rStyle w:val="CALIBRIBOLD12WHITE"/>
              </w:rPr>
              <w:t>Pregled</w:t>
            </w:r>
          </w:p>
        </w:tc>
      </w:tr>
      <w:tr w:rsidR="00205ADC">
        <w:trPr>
          <w:trHeight w:val="300"/>
        </w:trPr>
        <w:tc>
          <w:tcPr>
            <w:tcW w:w="1100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0000"/>
            <w:vAlign w:val="center"/>
          </w:tcPr>
          <w:p w:rsidR="00205ADC" w:rsidRDefault="009A0F52">
            <w:pPr>
              <w:spacing w:after="0"/>
            </w:pPr>
            <w:r>
              <w:rPr>
                <w:rStyle w:val="CALIBRIBOLD12WHITE"/>
              </w:rPr>
              <w:t>Podaci o visokoškolskoj ustanovi</w:t>
            </w:r>
          </w:p>
        </w:tc>
      </w:tr>
      <w:tr w:rsidR="00205ADC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5ADC" w:rsidRDefault="009A0F52">
            <w:pPr>
              <w:spacing w:after="0"/>
            </w:pPr>
            <w:r>
              <w:rPr>
                <w:rStyle w:val="CALIBRIBOLD11"/>
              </w:rPr>
              <w:t>Naziv, adresa i e-mail adresa institucije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5ADC" w:rsidRDefault="009A0F52">
            <w:pPr>
              <w:spacing w:after="0"/>
            </w:pPr>
            <w:r>
              <w:rPr>
                <w:rStyle w:val="CALIBRI11"/>
              </w:rPr>
              <w:t>Slobomir P Univerzitet Pavlovića put 76, Bijeljina Info@spu.ba</w:t>
            </w:r>
          </w:p>
        </w:tc>
      </w:tr>
      <w:tr w:rsidR="00205ADC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5ADC" w:rsidRDefault="009A0F52">
            <w:pPr>
              <w:spacing w:after="0"/>
            </w:pPr>
            <w:r>
              <w:rPr>
                <w:rStyle w:val="CALIBRIBOLD11"/>
              </w:rPr>
              <w:t>Internet adresa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5ADC" w:rsidRDefault="009A0F52">
            <w:pPr>
              <w:spacing w:after="0"/>
            </w:pPr>
            <w:r>
              <w:rPr>
                <w:rStyle w:val="CALIBRI11"/>
              </w:rPr>
              <w:t>http://spu.ba/</w:t>
            </w:r>
          </w:p>
        </w:tc>
      </w:tr>
      <w:tr w:rsidR="00205ADC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5ADC" w:rsidRDefault="009A0F52">
            <w:pPr>
              <w:spacing w:after="0"/>
            </w:pPr>
            <w:r>
              <w:rPr>
                <w:rStyle w:val="CALIBRIBOLD11"/>
              </w:rPr>
              <w:t>Naziv, broj i datum akta o osnivanju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5ADC" w:rsidRDefault="009A0F52">
            <w:pPr>
              <w:spacing w:after="0"/>
            </w:pPr>
            <w:r>
              <w:rPr>
                <w:rStyle w:val="CALIBRI11"/>
              </w:rPr>
              <w:t>Odluka o osnivanju Slobomir P Univerziteta, Slobomir Bijeljina; Akt o osnivanju, odluka br. 6-01-1272/03 od dana 08.04.2003. godine</w:t>
            </w:r>
          </w:p>
        </w:tc>
      </w:tr>
      <w:tr w:rsidR="00205ADC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5ADC" w:rsidRDefault="009A0F52">
            <w:pPr>
              <w:spacing w:after="0"/>
            </w:pPr>
            <w:r>
              <w:rPr>
                <w:rStyle w:val="CALIBRIBOLD11"/>
              </w:rPr>
              <w:t>Poresko-identifikacioni broj (PIB)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5ADC" w:rsidRDefault="009A0F52">
            <w:pPr>
              <w:spacing w:after="0"/>
            </w:pPr>
            <w:r>
              <w:rPr>
                <w:rStyle w:val="CALIBRI11"/>
              </w:rPr>
              <w:t>4401904060002</w:t>
            </w:r>
          </w:p>
        </w:tc>
      </w:tr>
      <w:tr w:rsidR="00205ADC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5ADC" w:rsidRDefault="009A0F52">
            <w:pPr>
              <w:spacing w:after="0"/>
            </w:pPr>
            <w:r>
              <w:rPr>
                <w:rStyle w:val="CALIBRIBOLD11"/>
              </w:rPr>
              <w:t>Matični broj dodijeljen od Republičkog zavoda za statistiku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5ADC" w:rsidRDefault="009A0F52">
            <w:pPr>
              <w:spacing w:after="0"/>
            </w:pPr>
            <w:r>
              <w:rPr>
                <w:rStyle w:val="CALIBRI11"/>
              </w:rPr>
              <w:t>1970372</w:t>
            </w:r>
          </w:p>
        </w:tc>
      </w:tr>
      <w:tr w:rsidR="00205ADC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5ADC" w:rsidRDefault="009A0F52">
            <w:pPr>
              <w:spacing w:after="0"/>
            </w:pPr>
            <w:r>
              <w:rPr>
                <w:rStyle w:val="CALIBRIBOLD11"/>
              </w:rPr>
              <w:t>Ime, prezime i adresa (naziv i sjedište) osnivača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5ADC" w:rsidRDefault="009A0F52">
            <w:pPr>
              <w:spacing w:after="0"/>
            </w:pPr>
            <w:r>
              <w:rPr>
                <w:rStyle w:val="CALIBRI11"/>
              </w:rPr>
              <w:t>Mira i Slobodan Pavlović</w:t>
            </w:r>
          </w:p>
        </w:tc>
      </w:tr>
      <w:tr w:rsidR="00205ADC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5ADC" w:rsidRDefault="009A0F52">
            <w:pPr>
              <w:spacing w:after="0"/>
            </w:pPr>
            <w:r>
              <w:rPr>
                <w:rStyle w:val="CALIBRIBOLD11"/>
              </w:rPr>
              <w:t>Broj i datum odluke o imenovanju lica ovlašćenog za zastupanje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5ADC" w:rsidRDefault="009A0F52">
            <w:pPr>
              <w:spacing w:after="0"/>
            </w:pPr>
            <w:r>
              <w:rPr>
                <w:rStyle w:val="CALIBRI11"/>
              </w:rPr>
              <w:t>-</w:t>
            </w:r>
          </w:p>
        </w:tc>
      </w:tr>
      <w:tr w:rsidR="00205ADC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5ADC" w:rsidRDefault="009A0F52">
            <w:pPr>
              <w:spacing w:after="0"/>
            </w:pPr>
            <w:r>
              <w:rPr>
                <w:rStyle w:val="CALIBRIBOLD11"/>
              </w:rPr>
              <w:t>Broj i datum dozvole za rad visokoškolske ust</w:t>
            </w:r>
            <w:r>
              <w:rPr>
                <w:rStyle w:val="CALIBRIBOLD11"/>
              </w:rPr>
              <w:t>anove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5ADC" w:rsidRDefault="009A0F52">
            <w:pPr>
              <w:spacing w:after="0"/>
            </w:pPr>
            <w:r>
              <w:rPr>
                <w:rStyle w:val="CALIBRI11"/>
              </w:rPr>
              <w:t>Odluka o ispunjavanju uslova za početak rada Slobomir P Univerziteta Bijeljina) br. 6-01-6567/04 od dana od 27.12.2004. godine; br. 07.2-9622/07 od dana od 28.12.2007. godine</w:t>
            </w:r>
          </w:p>
        </w:tc>
      </w:tr>
      <w:tr w:rsidR="00205ADC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5ADC" w:rsidRDefault="009A0F52">
            <w:pPr>
              <w:spacing w:after="0"/>
            </w:pPr>
            <w:r>
              <w:rPr>
                <w:rStyle w:val="CALIBRIBOLD11"/>
              </w:rPr>
              <w:t>Broj i datum dozvole za rad van sjedišta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5ADC" w:rsidRDefault="009A0F52">
            <w:pPr>
              <w:spacing w:after="0"/>
            </w:pPr>
            <w:r>
              <w:rPr>
                <w:rStyle w:val="CALIBRI11"/>
              </w:rPr>
              <w:t>Odluka br. 07.2-9622-1/07 od dana</w:t>
            </w:r>
            <w:r>
              <w:rPr>
                <w:rStyle w:val="CALIBRI11"/>
              </w:rPr>
              <w:t xml:space="preserve"> od 28.12.2007. godine</w:t>
            </w:r>
          </w:p>
        </w:tc>
      </w:tr>
      <w:tr w:rsidR="00205ADC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5ADC" w:rsidRDefault="009A0F52">
            <w:pPr>
              <w:spacing w:after="0"/>
            </w:pPr>
            <w:r>
              <w:rPr>
                <w:rStyle w:val="CALIBRIBOLD11"/>
              </w:rPr>
              <w:t>Organizacione jedinice koje se posjećuju i odgovorna lica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5ADC" w:rsidRDefault="00205ADC">
            <w:pPr>
              <w:spacing w:after="0"/>
            </w:pPr>
          </w:p>
        </w:tc>
      </w:tr>
      <w:tr w:rsidR="00205ADC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5ADC" w:rsidRDefault="009A0F52">
            <w:pPr>
              <w:spacing w:after="0"/>
            </w:pPr>
            <w:r>
              <w:rPr>
                <w:rStyle w:val="CALIBRIBOLD11"/>
              </w:rPr>
              <w:t>Kontakt osoba: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5ADC" w:rsidRDefault="00205ADC">
            <w:pPr>
              <w:spacing w:after="0"/>
            </w:pPr>
          </w:p>
        </w:tc>
      </w:tr>
      <w:tr w:rsidR="00205ADC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5ADC" w:rsidRDefault="009A0F52">
            <w:pPr>
              <w:spacing w:after="0"/>
            </w:pPr>
            <w:r>
              <w:rPr>
                <w:rStyle w:val="CALIBRIBOLD11"/>
              </w:rPr>
              <w:t>Broj telefona: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5ADC" w:rsidRDefault="009A0F52">
            <w:pPr>
              <w:spacing w:after="0"/>
            </w:pPr>
            <w:r>
              <w:rPr>
                <w:rStyle w:val="CALIBRI11"/>
              </w:rPr>
              <w:t>+38755231101, +38753209621</w:t>
            </w:r>
          </w:p>
        </w:tc>
      </w:tr>
      <w:tr w:rsidR="00205ADC">
        <w:trPr>
          <w:trHeight w:val="300"/>
        </w:trPr>
        <w:tc>
          <w:tcPr>
            <w:tcW w:w="1100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:rsidR="00205ADC" w:rsidRDefault="009A0F52">
            <w:pPr>
              <w:spacing w:after="0"/>
            </w:pPr>
            <w:r>
              <w:rPr>
                <w:rStyle w:val="CALIBRIBOLD12"/>
              </w:rPr>
              <w:t>Programi prijavljeni za evaluaciju</w:t>
            </w:r>
          </w:p>
        </w:tc>
      </w:tr>
      <w:tr w:rsidR="00205ADC">
        <w:trPr>
          <w:trHeight w:val="300"/>
        </w:trPr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5ADC" w:rsidRDefault="009A0F52">
            <w:pPr>
              <w:spacing w:after="0"/>
            </w:pPr>
            <w:r>
              <w:rPr>
                <w:rStyle w:val="CALIBRIBOLD11"/>
              </w:rPr>
              <w:t>Naziv studijskog programa</w:t>
            </w:r>
          </w:p>
        </w:tc>
        <w:tc>
          <w:tcPr>
            <w:tcW w:w="2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5ADC" w:rsidRDefault="009A0F52">
            <w:pPr>
              <w:spacing w:after="0"/>
            </w:pPr>
            <w:r>
              <w:rPr>
                <w:rStyle w:val="CALIBRIBOLD11"/>
              </w:rPr>
              <w:t>Nivo studija</w:t>
            </w:r>
          </w:p>
        </w:tc>
        <w:tc>
          <w:tcPr>
            <w:tcW w:w="5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5ADC" w:rsidRDefault="009A0F52">
            <w:pPr>
              <w:spacing w:after="0"/>
            </w:pPr>
            <w:r>
              <w:rPr>
                <w:rStyle w:val="CALIBRIBOLD11"/>
              </w:rPr>
              <w:t>Naziv(i) izlaznih kvalifikacija</w:t>
            </w:r>
          </w:p>
        </w:tc>
      </w:tr>
      <w:tr w:rsidR="00205ADC">
        <w:trPr>
          <w:trHeight w:val="300"/>
        </w:trPr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5ADC" w:rsidRDefault="009A0F52">
            <w:pPr>
              <w:spacing w:after="0"/>
            </w:pPr>
            <w:r>
              <w:rPr>
                <w:rStyle w:val="CALIBRI11"/>
              </w:rPr>
              <w:t xml:space="preserve">INFORMACIONE TEHNOLOGIJE </w:t>
            </w:r>
          </w:p>
        </w:tc>
        <w:tc>
          <w:tcPr>
            <w:tcW w:w="2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5ADC" w:rsidRDefault="009A0F52">
            <w:pPr>
              <w:spacing w:after="0"/>
            </w:pPr>
            <w:r>
              <w:rPr>
                <w:rStyle w:val="CALIBRI11"/>
              </w:rPr>
              <w:t xml:space="preserve">prvi </w:t>
            </w:r>
          </w:p>
        </w:tc>
        <w:tc>
          <w:tcPr>
            <w:tcW w:w="5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5ADC" w:rsidRDefault="009A0F52">
            <w:pPr>
              <w:spacing w:after="0"/>
            </w:pPr>
            <w:r>
              <w:rPr>
                <w:rStyle w:val="CALIBRI11"/>
              </w:rPr>
              <w:t>Diplomirani inženjer informatike-240 ECTS, Diplomirani inženjer informatike-180 ECTS</w:t>
            </w:r>
          </w:p>
        </w:tc>
      </w:tr>
    </w:tbl>
    <w:p w:rsidR="00205ADC" w:rsidRDefault="009A0F52">
      <w:r>
        <w:br w:type="page"/>
      </w:r>
    </w:p>
    <w:tbl>
      <w:tblPr>
        <w:tblStyle w:val="tblP"/>
        <w:tblW w:w="0" w:type="auto"/>
        <w:tblInd w:w="50" w:type="dxa"/>
        <w:tblLook w:val="04A0" w:firstRow="1" w:lastRow="0" w:firstColumn="1" w:lastColumn="0" w:noHBand="0" w:noVBand="1"/>
      </w:tblPr>
      <w:tblGrid>
        <w:gridCol w:w="10156"/>
      </w:tblGrid>
      <w:tr w:rsidR="00205ADC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:rsidR="00205ADC" w:rsidRDefault="009A0F52">
            <w:pPr>
              <w:spacing w:after="0"/>
            </w:pPr>
            <w:r>
              <w:rPr>
                <w:rStyle w:val="CALIBRIBOLD11"/>
              </w:rPr>
              <w:lastRenderedPageBreak/>
              <w:t>DOBRE STRANE</w:t>
            </w:r>
          </w:p>
        </w:tc>
      </w:tr>
      <w:tr w:rsidR="00205ADC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5ADC" w:rsidRDefault="009A0F52">
            <w:pPr>
              <w:spacing w:after="0"/>
              <w:jc w:val="both"/>
            </w:pPr>
            <w:r>
              <w:rPr>
                <w:rStyle w:val="CALIBRIBOLD11"/>
              </w:rPr>
              <w:t>B.2 Kreiranje i odobravanje studijskih programa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Definisani su svi relevantni univerzitetski dokumenti i procedure za donošenje i kreiranje studijskih programa. Učešće internih zainteresovanih strana u izradi studijskih programa je prikazano.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Obrazovni ciljevi su jasni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Ishodi učenja su definisani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Javn</w:t>
            </w:r>
            <w:r>
              <w:rPr>
                <w:rStyle w:val="CALIBRI11"/>
              </w:rPr>
              <w:t xml:space="preserve">o su dostupne sve informacije o studijskim programima na sajtu univerziteta. </w:t>
            </w: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Navedeno je više uporednih SP iz okruženja.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Postoji Pravilnik o nastavi i ispitima koji  definiše način izvođenja nastave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Stručna praksa je dobro organizovana i metodološki osmišljena.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SP se periodično prate radi potrebe za inoviranjem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 xml:space="preserve">Koristi se sistem ECTS bodova kojim se utvrđuje količina vremena koja je studentima potrebna da bi izvršili sve obaveze vezane za nastavu i </w:t>
            </w:r>
            <w:r>
              <w:rPr>
                <w:rStyle w:val="CALIBRI11"/>
              </w:rPr>
              <w:t xml:space="preserve">učenje 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Diplomci stiču kvalifikacije u skladu sa ciljevima studijskog programa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Pravilnikom je definisana procedura izrade završnog rada.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 xml:space="preserve">Definisano je u okviru kojih aktivnosti i predmeta se ostvaruje sticanje kompetencija. 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BOLD11"/>
              </w:rPr>
              <w:t>B.3 Učenje, podučavanje i ocjenjivanje usmjereno ka studentu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Studenti su u dovoljnoj meri ukljuceni u upravljacka tela i u evaluaciju nastave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Opisan način izvođenja studijskog programa prikazuje da je studentima omogućeno da imaju aktivnu ulogu u procesu</w:t>
            </w:r>
            <w:r>
              <w:rPr>
                <w:rStyle w:val="CALIBRI11"/>
              </w:rPr>
              <w:t xml:space="preserve"> učenja. Nastavne metode koje su planirane i opisane jasno pokazuju da je dobro planiran nastavni proces. Senat je usvojio Pravilnik o nastavi i ispitima koji jasno definiše način izvođenja nastave na studijskom programu. Pripreme za profesionalno angažova</w:t>
            </w:r>
            <w:r>
              <w:rPr>
                <w:rStyle w:val="CALIBRI11"/>
              </w:rPr>
              <w:t xml:space="preserve">nje nakon završenih studija je dobro planirana i zastupljena. 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Studenti su uključeni u proces kreiranja procesa učenja na više načina. Vrednovanje kvaliteta studija od strane studenata obavlja se dva puta godišnje za sve predmete.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Žalbe na postupke ocj</w:t>
            </w:r>
            <w:r>
              <w:rPr>
                <w:rStyle w:val="CALIBRI11"/>
              </w:rPr>
              <w:t xml:space="preserve">enjivanja nisu pokretane. Dokumenti koji regulišu žalbenu proceduru i uvid u radove su: Statut i Pravilnik o nastavi i ispitima. 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BOLD11"/>
              </w:rPr>
              <w:t xml:space="preserve">B.4 Upis i napredovanje studenata, priznavanje i sertifikacija   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lastRenderedPageBreak/>
              <w:t>Upis studenata je jasno definisan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Prilikom prelaska studenta sa druge visokoškolske ustanove na Slobomir P Univerzitet priznavanje kvalifikacija stečenih u drugim ustanovama i obrazovnim sistemima, kao i uslovi i kriterijumi prelaska, su definisani u  Pravilniku o prenosu ECTS bodova i ekv</w:t>
            </w:r>
            <w:r>
              <w:rPr>
                <w:rStyle w:val="CALIBRI11"/>
              </w:rPr>
              <w:t xml:space="preserve">ivalenciji na Slobomir P Univerzitetu.  </w:t>
            </w: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Mobilnost studenata promoviše se kroz mogućnost prelaska studenata sa drugih visokoškolskih ustanova na studijske programe Slobomir P Univerzitet.</w:t>
            </w: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 xml:space="preserve">Omogućen je prenos ECTS bodova, a kriterijumi i uslovi su propisani </w:t>
            </w:r>
            <w:r>
              <w:rPr>
                <w:rStyle w:val="CALIBRI11"/>
              </w:rPr>
              <w:t xml:space="preserve">Statutom (čl. 104), Pravilnikom o nastavi i ispitima  i Pravilnikom o prenosu ECTS bodova i ekvivalenciji na Slobomir P Univerzitetu. 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205ADC">
            <w:pPr>
              <w:spacing w:after="0"/>
              <w:jc w:val="both"/>
            </w:pP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Odbranom završnog (diplomskog) rada na studijskom programu Informacione tehnologije prvog ciklusa studija, student sti</w:t>
            </w:r>
            <w:r>
              <w:rPr>
                <w:rStyle w:val="CALIBRI11"/>
              </w:rPr>
              <w:t>če akademsko zvanje prema Pravilniku o Listi strukovnih, akademskih i naučnih zvanja („Službeni glasnik RS“, broj 117/14) definisano završenim studijskim programom, a prema Rešenju o ispunjenosti uslova za izvođenje studijskog programa Informacione tehnolo</w:t>
            </w:r>
            <w:r>
              <w:rPr>
                <w:rStyle w:val="CALIBRI11"/>
              </w:rPr>
              <w:t xml:space="preserve">gije. </w:t>
            </w: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Univerzitet po završetku studija studentu izdaje diplomu i dodatak diplomi (Diploma Supplement) koji opisuju stečenu kvalifikaciju, uključujući postignute ishode učenja i kontekst, nivo, sadržaj i status studija koji je student završio u skladu s Pr</w:t>
            </w:r>
            <w:r>
              <w:rPr>
                <w:rStyle w:val="CALIBRI11"/>
              </w:rPr>
              <w:t>avilnikom o sadržaju javnih isprava koje izdaju visokoškolske ustanove u RS.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 xml:space="preserve">Ustanova ima definisan način priznavanja stečenih znanja tokom razmene. Aktivnosti su podrobno regulisane internim aktima ustanove.  </w:t>
            </w: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Kancelarija za međunarodnu saradnju uspješn</w:t>
            </w:r>
            <w:r>
              <w:rPr>
                <w:rStyle w:val="CALIBRI11"/>
              </w:rPr>
              <w:t>o funkcioniše.</w:t>
            </w: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Ustanova ima potpisane međunarodne sporazume. Akti koji regulišu međunarodnu saradnju i mobilnost studenata su:</w:t>
            </w: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-  Pravilnik o mobilnosti studenata</w:t>
            </w: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- Strategija o mobilnosti</w:t>
            </w: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- Strategija Internacionalizacije</w:t>
            </w: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- Akcioni plan Internacionalizaci</w:t>
            </w:r>
            <w:r>
              <w:rPr>
                <w:rStyle w:val="CALIBRI11"/>
              </w:rPr>
              <w:t>je</w:t>
            </w: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 xml:space="preserve">Kancelarija na godišnjem nivou izrađuje izveštaj o mobilnosti akademskog osoblja i studenata koji se podnosi Senatu prema roku utvrđenom Akcionim planom. 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BOLD11"/>
              </w:rPr>
              <w:t>B.5 Nastavno osoblje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Univerzitet podstiče učešće nastavnog kadra na stručno-naučnim skupovima, a</w:t>
            </w:r>
            <w:r>
              <w:rPr>
                <w:rStyle w:val="CALIBRI11"/>
              </w:rPr>
              <w:t>pliciranju i realizaciji naučno-istraživačkih projekata ili u aktivnostima uspostavljanja saradnje sa privredom.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 xml:space="preserve">U zvanje nastavnika ustanova bira kandidata koji ispunjava uslove propisane Zakonom o visokom obrazovanju, Statutom Univerziteta i Pravilnikom o postupku i uslovima izbora akademskog osoblja Univerziteta. 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205ADC">
            <w:pPr>
              <w:spacing w:after="0"/>
              <w:jc w:val="both"/>
            </w:pP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Ustanova ima razrađen plan usavršavanja nenasta</w:t>
            </w:r>
            <w:r>
              <w:rPr>
                <w:rStyle w:val="CALIBRI11"/>
              </w:rPr>
              <w:t xml:space="preserve">vnog osoblja. 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lastRenderedPageBreak/>
              <w:t>Prilikom izbora u zvanja Univerzitet se pridržava sledećih uslova i propisa:</w:t>
            </w: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• uslovi za izbor saradnika i nastavnika su unapred poznati i utvrđeni u skladu sa Zakonom o visokom obrazovanju, Pravilnikom o uslovima i postupku izbora akademsk</w:t>
            </w:r>
            <w:r>
              <w:rPr>
                <w:rStyle w:val="CALIBRI11"/>
              </w:rPr>
              <w:t>og osoblja Slobomir P univerziteta i Statutom Univerziteta;</w:t>
            </w: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 xml:space="preserve">• postupak izbora je javan i dostupan oceni stručne i šire javnosti; </w:t>
            </w: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• pozivi za izbor (konkursi) su objavljeni u dnevnim listovima i široko dostupni javnosti.</w:t>
            </w: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Izbor u zvanje nastavnika na Univer</w:t>
            </w:r>
            <w:r>
              <w:rPr>
                <w:rStyle w:val="CALIBRI11"/>
              </w:rPr>
              <w:t>zitetu zasniva se na ostvarenim i mjerljivim rezultatima rada kandidata, koji se iskazuju kroz:</w:t>
            </w: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 xml:space="preserve">- obavezne elemente: nastavni rad; naučno-istraživački, odnosno umetnički rad. </w:t>
            </w: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 xml:space="preserve">- izborne elemente: stručno-profesionalni doprinos; doprinos akademskoj i široj </w:t>
            </w:r>
            <w:r>
              <w:rPr>
                <w:rStyle w:val="CALIBRI11"/>
              </w:rPr>
              <w:t>zajednici; saradnja sa drugim visokoškolskim, naučno-istraživačkim, odnosno umetničkim institucijama i institucijama kulture u zemlji i inostranstvu.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BOLD11"/>
              </w:rPr>
              <w:t xml:space="preserve">B.6 Resursi za učenje i podrška studentima 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Veb sajt univerziteta daje neophodne informacije o opremlje</w:t>
            </w:r>
            <w:r>
              <w:rPr>
                <w:rStyle w:val="CALIBRI11"/>
              </w:rPr>
              <w:t>nosti institucije, kao i kontakte za neophodne informacije. Nenastavno osoblje je dovoljno strucno da pruzi adekvatne smernice.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Kapaciteti univerziteta po pitanju prostora i opremljenosti su u saglasnosti sa svim zahtevima. Univerzitet koristi dva informa</w:t>
            </w:r>
            <w:r>
              <w:rPr>
                <w:rStyle w:val="CALIBRI11"/>
              </w:rPr>
              <w:t xml:space="preserve">ciona sistema – jedan za potrebe studentske službe, a drugi za potrebe računovodstvene službe. 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BOLD11"/>
              </w:rPr>
              <w:t xml:space="preserve">B.8 Informisanje javnosti   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Publikovanje informacija je u dovoljnoj meri transparentno i obuhvaćeno.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 xml:space="preserve">Pristup je zadovoljavajuć. 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Dobra koncepcija i struktura web stranice za Studije i Upis.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BOLD11"/>
              </w:rPr>
              <w:t xml:space="preserve">B.9 Kontinuirano praćenje i periodična revizija studijskih programa 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Anketiranje studenata je plansko i redovno. Ugovori sa poslodavcima postoje.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Saradnjom sa eksternim subjektima (Zavod za za</w:t>
            </w:r>
            <w:r>
              <w:rPr>
                <w:rStyle w:val="CALIBRI11"/>
              </w:rPr>
              <w:t>pošljavanje, Regionalna privredna komora, i dr.) se prepoznaju potrebe i donose odluke o unapredjenju SP. Takodje, studentske ankete dopirinose dubljem uvidu u povratne informacije.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Fakultet je imao spoljašnju proveru kvaliteta prilikom akreditacije  2014</w:t>
            </w:r>
            <w:r>
              <w:rPr>
                <w:rStyle w:val="CALIBRI11"/>
              </w:rPr>
              <w:t xml:space="preserve">. godine. Analiza kvaliteta svih studijskih programa je ukazala na određene slabosti i inicirala usvajanje određenih mera i aktivnosti za unaprijeđenje kvaliteta. 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BOLD11"/>
              </w:rPr>
              <w:t>B.10</w:t>
            </w:r>
            <w:r>
              <w:rPr>
                <w:rStyle w:val="CALIBRIBOLD11"/>
              </w:rPr>
              <w:tab/>
              <w:t xml:space="preserve"> Periodično vanjsko osiguranje kvaliteta  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Unapređenja unutrašnjeg sistema obezbeđenj</w:t>
            </w:r>
            <w:r>
              <w:rPr>
                <w:rStyle w:val="CALIBRI11"/>
              </w:rPr>
              <w:t xml:space="preserve">a kvaliteta koja su proizašla iz preporuka prethodnih evaluacija se ogledaju u unaprijeđenju metoda  i tehnika koje se koriste u procesu obezbeđenja kvaliteta Univerziteta. 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205ADC">
            <w:pPr>
              <w:spacing w:after="0"/>
              <w:jc w:val="both"/>
            </w:pP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Univerzitet radi na unapređenju unutrašnjeg sistema osiguranja kvaliteta koja s</w:t>
            </w:r>
            <w:r>
              <w:rPr>
                <w:rStyle w:val="CALIBRI11"/>
              </w:rPr>
              <w:t>u proizašla iz preporuka prethodnih evaluacija</w:t>
            </w:r>
          </w:p>
        </w:tc>
      </w:tr>
      <w:tr w:rsidR="00205ADC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:rsidR="00205ADC" w:rsidRDefault="009A0F52">
            <w:pPr>
              <w:spacing w:after="0"/>
            </w:pPr>
            <w:r>
              <w:rPr>
                <w:rStyle w:val="CALIBRIBOLD11"/>
              </w:rPr>
              <w:lastRenderedPageBreak/>
              <w:t>SLABE STRANE</w:t>
            </w:r>
          </w:p>
        </w:tc>
      </w:tr>
      <w:tr w:rsidR="00205ADC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5ADC" w:rsidRDefault="009A0F52">
            <w:pPr>
              <w:spacing w:after="0"/>
              <w:jc w:val="both"/>
            </w:pPr>
            <w:r>
              <w:rPr>
                <w:rStyle w:val="CALIBRIBOLD11"/>
              </w:rPr>
              <w:t>B.2 Kreiranje i odobravanje studijskih programa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Učešće  eksternih zainteresovanih strana u izradi studijskih programa nije eksplicitno dato za IT oblast.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Reference u većem broju knjiga predmeta su zastarele, npr. E-poslovanje, Softversko inzenjerstvo,</w:t>
            </w: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int. tehnologije...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Dati su isti ishodi ucenja za 180 ECTS i 240 ECTS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 xml:space="preserve">Nije data analiza tj. rezultat upoređivanja. 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Kompanije koje primaju studente na praksu nisu vidljive na sajtu.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NIje vidljivo da ustanova anketira poslodavce povodom zadovoljstva zaposlenim studentima.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BOLD11"/>
              </w:rPr>
              <w:t>B.3 Učenje, podučavanje i ocjenjivanje usmjereno ka studentu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BOLD11"/>
              </w:rPr>
              <w:t xml:space="preserve">B.4 Upis i napredovanje studenata, priznavanje i sertifikacija   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BOLD11"/>
              </w:rPr>
              <w:t>B.5 Nastavno osoblje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lastRenderedPageBreak/>
              <w:t>Nema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BOLD11"/>
              </w:rPr>
              <w:t xml:space="preserve">B.6 Resursi za učenje i podrška studentima 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BOLD11"/>
              </w:rPr>
              <w:t xml:space="preserve">B.8 Informisanje javnosti   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Zastareli podaci. Objavljene su informacije za studije i upis za školsku 2020-21 godinu??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BOLD11"/>
              </w:rPr>
              <w:t xml:space="preserve">B.9 Kontinuirano praćenje i periodična revizija studijskih programa 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Nedovoljan broj ugovora sa poslodavcima iz regiona.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Nisu uključene kompanije koje zapošljavaju</w:t>
            </w:r>
            <w:r>
              <w:rPr>
                <w:rStyle w:val="CALIBRI11"/>
              </w:rPr>
              <w:t xml:space="preserve"> studente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BOLD11"/>
              </w:rPr>
              <w:t>B.10</w:t>
            </w:r>
            <w:r>
              <w:rPr>
                <w:rStyle w:val="CALIBRIBOLD11"/>
              </w:rPr>
              <w:tab/>
              <w:t xml:space="preserve"> Periodično vanjsko osiguranje kvaliteta  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Obzirom da je prethodna akreditacija bila 2014., pojedine unapređene mere bi trebale biti realizovane i predstavljene</w:t>
            </w:r>
          </w:p>
        </w:tc>
      </w:tr>
      <w:tr w:rsidR="00205ADC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:rsidR="00205ADC" w:rsidRDefault="009A0F52">
            <w:pPr>
              <w:spacing w:after="0"/>
            </w:pPr>
            <w:r>
              <w:rPr>
                <w:rStyle w:val="CALIBRIBOLD11"/>
              </w:rPr>
              <w:lastRenderedPageBreak/>
              <w:t>PREPORUKE ZA UNAPREĐENJE</w:t>
            </w:r>
          </w:p>
        </w:tc>
      </w:tr>
      <w:tr w:rsidR="00205ADC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5ADC" w:rsidRDefault="009A0F52">
            <w:pPr>
              <w:spacing w:after="0"/>
              <w:jc w:val="both"/>
            </w:pPr>
            <w:r>
              <w:rPr>
                <w:rStyle w:val="CALIBRIBOLD11"/>
              </w:rPr>
              <w:t>B.2 Kreiranje i odobravanje studijskih programa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Uključiti kompanije koje zapošljavaju svršene studente u evaluaciju i predloge pri donošenju novih SP.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Unaprediti literaturu da prati obrazovne ciljeve.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Preciznije prikaati ishode za oba studijska programa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Obzirom na širinu oblasti, preporučuje se upravo upoređivanje sa studijskim programima Informacione tehnologije. Ukoliko se radi upoređivanje sa Softverskim inženjerstvom i slično, razlike će biti primetne.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Metodologija uvođenja inovacija u nastavu i no</w:t>
            </w:r>
            <w:r>
              <w:rPr>
                <w:rStyle w:val="CALIBRI11"/>
              </w:rPr>
              <w:t>vih oblasti se može jasnije definisati. Razmotriti uvođenje novih predmeta ili nastavnih jedinica iz novih oblasti kao što su računarstvo u oblaku, internet stvari, veštačka inteligencija, testiranje softvera, i druge.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Javno prikazati ugovore sa poslovnim</w:t>
            </w:r>
            <w:r>
              <w:rPr>
                <w:rStyle w:val="CALIBRI11"/>
              </w:rPr>
              <w:t xml:space="preserve"> subjektima gde studenti mogu obaviti stručnu praksu. Vidljivost tih kompanija iz sektora IT će doprineti boljoj promociji samog studijskog programa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 xml:space="preserve">Anketiranje poslodavaca iz IT sektora, posebno onih koji zapošljavaju diplomce ovog SP, može dati korisne povratne informacije za inoviranje 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Anketiranje poslodavaca iz IT sektora, posebno onih koji zapošljavaju diplomce ovog SP, može dati korisne p</w:t>
            </w:r>
            <w:r>
              <w:rPr>
                <w:rStyle w:val="CALIBRI11"/>
              </w:rPr>
              <w:t xml:space="preserve">ovratne informacije za inoviranje 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Završni radovi kod kojih se prepoznaje inovativni potencijal se mogu prijaviti kao tzv. mali patent, čime student i fakultet dobijaju kvalitetnu referencu i postaju prepoznatljiviji za naredne generacije kao i za posloda</w:t>
            </w:r>
            <w:r>
              <w:rPr>
                <w:rStyle w:val="CALIBRI11"/>
              </w:rPr>
              <w:t>vce.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Periodično sprovesti sastanke ili ankete sa poslodavcima i iskoristiti povratnu informaciju za unapredjenje postojećih SP.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BOLD11"/>
              </w:rPr>
              <w:t>B.3 Učenje, podučavanje i ocjenjivanje usmjereno ka studentu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 xml:space="preserve"> Nastavne metode koje su planirane implementirati u što većoj meri na većem broju predmeta.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Alumni skupovi mogu doneti značajne informacije o trendovima na tržištu rada, ali nije opisano da li se oni i koliko često sprovode, kao i na koji način. Organizov</w:t>
            </w:r>
            <w:r>
              <w:rPr>
                <w:rStyle w:val="CALIBRI11"/>
              </w:rPr>
              <w:t>ati periodične alumni susrete sa studentima.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BOLD11"/>
              </w:rPr>
              <w:t xml:space="preserve">B.4 Upis i napredovanje studenata, priznavanje i sertifikacija   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Aktivirati u što većoj meri i mobilnost nenastavnog osoblja.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BOLD11"/>
              </w:rPr>
              <w:t>B.5 Nastavno osoblje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U cilju podizanja kompetencija nenastavnog osoblja, pojačati mobilnost zaposlenih sa univerzitetima u regionu i šire.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BOLD11"/>
              </w:rPr>
              <w:t xml:space="preserve">B.6 Resursi za učenje i podrška studentima 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lastRenderedPageBreak/>
              <w:t>Nema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BOLD11"/>
              </w:rPr>
              <w:t xml:space="preserve">B.8 Informisanje javnosti   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Usaglasiti sve kanale komunikacije i obaveštavanja</w:t>
            </w:r>
            <w:r>
              <w:rPr>
                <w:rStyle w:val="CALIBRI11"/>
              </w:rPr>
              <w:t>. Facebook stranica se retko osvežava, tako da treba pojačati objave.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nema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Ažurirati stranice za studije i upis studenata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BOLD11"/>
              </w:rPr>
              <w:t xml:space="preserve">B.9 Kontinuirano praćenje i periodična revizija studijskih programa 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Pojačati saradnju i komunikaciju sa poslovnim subjektima iz r</w:t>
            </w:r>
            <w:r>
              <w:rPr>
                <w:rStyle w:val="CALIBRI11"/>
              </w:rPr>
              <w:t>egiona. Uključiti poslodavce u razvijanje studijskih programa.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Periodično organizovati stručne sastanke sa firmama koje zapošljavaju svršene diplomce u cilju prepoznavanja potreba i usklađivanja SP. Umesto poslodavaca, mogu se organizovati sastanci i sa diplomcima iz tih kompanija.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Nije navedeno precizno u kojoj meri</w:t>
            </w:r>
            <w:r>
              <w:rPr>
                <w:rStyle w:val="CALIBRI11"/>
              </w:rPr>
              <w:t xml:space="preserve"> su mere unapredjenja sprovedene, ali se navodi da su u toku poboljšanja za više aktivnosti, pa je pretpostavka da se neprestano radi na unapredjenju. Nastaviti sa tim aktivnostima i dalje.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BOLD11"/>
              </w:rPr>
              <w:t>B.10</w:t>
            </w:r>
            <w:r>
              <w:rPr>
                <w:rStyle w:val="CALIBRIBOLD11"/>
              </w:rPr>
              <w:tab/>
              <w:t xml:space="preserve"> Periodično vanjsko osiguranje kvaliteta  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Sprovoditi perio</w:t>
            </w:r>
            <w:r>
              <w:rPr>
                <w:rStyle w:val="CALIBRI11"/>
              </w:rPr>
              <w:t>dično eksternu i internu proveru kvaliteta.</w:t>
            </w:r>
          </w:p>
          <w:p w:rsidR="00205ADC" w:rsidRDefault="00205ADC">
            <w:pPr>
              <w:spacing w:after="0"/>
              <w:jc w:val="both"/>
            </w:pPr>
          </w:p>
          <w:p w:rsidR="00205ADC" w:rsidRDefault="009A0F52">
            <w:pPr>
              <w:spacing w:after="0"/>
              <w:jc w:val="both"/>
            </w:pPr>
            <w:r>
              <w:rPr>
                <w:rStyle w:val="CALIBRI11"/>
              </w:rPr>
              <w:t>Ubrzati donošenje odluka koje su u vezi sa unutrašnjim sistemom kvaliteta</w:t>
            </w:r>
          </w:p>
        </w:tc>
      </w:tr>
    </w:tbl>
    <w:p w:rsidR="00205ADC" w:rsidRDefault="00205ADC"/>
    <w:p w:rsidR="00205ADC" w:rsidRDefault="00205ADC">
      <w:pPr>
        <w:spacing w:after="0"/>
      </w:pPr>
    </w:p>
    <w:p w:rsidR="00205ADC" w:rsidRDefault="009A0F52">
      <w:pPr>
        <w:spacing w:after="0"/>
      </w:pPr>
      <w:r>
        <w:rPr>
          <w:rStyle w:val="CALIBRI12"/>
        </w:rPr>
        <w:t>MJESTO I DATUM _______________________________</w:t>
      </w:r>
    </w:p>
    <w:p w:rsidR="00205ADC" w:rsidRDefault="00205ADC"/>
    <w:p w:rsidR="00205ADC" w:rsidRDefault="009A0F52">
      <w:pPr>
        <w:spacing w:after="0"/>
      </w:pPr>
      <w:r>
        <w:rPr>
          <w:rStyle w:val="CALIBRI12"/>
        </w:rPr>
        <w:t>POTPIS RECENZENTA ____________________________</w:t>
      </w:r>
    </w:p>
    <w:p w:rsidR="00205ADC" w:rsidRDefault="00205ADC"/>
    <w:sectPr w:rsidR="00205ADC">
      <w:headerReference w:type="default" r:id="rId7"/>
      <w:footerReference w:type="default" r:id="rId8"/>
      <w:pgSz w:w="11906" w:h="16838"/>
      <w:pgMar w:top="1000" w:right="800" w:bottom="1000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F52" w:rsidRDefault="009A0F52">
      <w:pPr>
        <w:spacing w:after="0" w:line="240" w:lineRule="auto"/>
      </w:pPr>
      <w:r>
        <w:separator/>
      </w:r>
    </w:p>
  </w:endnote>
  <w:endnote w:type="continuationSeparator" w:id="0">
    <w:p w:rsidR="009A0F52" w:rsidRDefault="009A0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ADC" w:rsidRDefault="009A0F52">
    <w:pPr>
      <w:jc w:val="right"/>
    </w:pPr>
    <w:r>
      <w:t xml:space="preserve">STRANA </w:t>
    </w:r>
    <w:r>
      <w:fldChar w:fldCharType="begin"/>
    </w:r>
    <w:r>
      <w:instrText>PAGE</w:instrText>
    </w:r>
    <w:r w:rsidR="00C62ABB">
      <w:fldChar w:fldCharType="separate"/>
    </w:r>
    <w:r w:rsidR="00C62ABB">
      <w:rPr>
        <w:noProof/>
      </w:rPr>
      <w:t>1</w:t>
    </w:r>
    <w:r>
      <w:fldChar w:fldCharType="end"/>
    </w:r>
    <w:r>
      <w:t xml:space="preserve"> OD </w:t>
    </w:r>
    <w:r>
      <w:fldChar w:fldCharType="begin"/>
    </w:r>
    <w:r>
      <w:instrText>NUMPAGES</w:instrText>
    </w:r>
    <w:r w:rsidR="00C62ABB">
      <w:fldChar w:fldCharType="separate"/>
    </w:r>
    <w:r w:rsidR="00C62ABB">
      <w:rPr>
        <w:noProof/>
      </w:rPr>
      <w:t>8</w:t>
    </w:r>
    <w:r>
      <w:fldChar w:fldCharType="end"/>
    </w:r>
  </w:p>
  <w:p w:rsidR="00205ADC" w:rsidRDefault="009A0F52">
    <w:pPr>
      <w:spacing w:after="0"/>
    </w:pPr>
    <w:r>
      <w:t>OB AVORS 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F52" w:rsidRDefault="009A0F52">
      <w:pPr>
        <w:spacing w:after="0" w:line="240" w:lineRule="auto"/>
      </w:pPr>
      <w:r>
        <w:separator/>
      </w:r>
    </w:p>
  </w:footnote>
  <w:footnote w:type="continuationSeparator" w:id="0">
    <w:p w:rsidR="009A0F52" w:rsidRDefault="009A0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ADC" w:rsidRDefault="00C62ABB">
    <w:r>
      <w:rPr>
        <w:noProof/>
      </w:rPr>
      <w:drawing>
        <wp:inline distT="0" distB="0" distL="0" distR="0">
          <wp:extent cx="1152525" cy="8572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ADC"/>
    <w:rsid w:val="00205ADC"/>
    <w:rsid w:val="009A0F52"/>
    <w:rsid w:val="00C62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3C320FA6-7433-42F2-94F8-6C3E2B5E4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bH">
    <w:name w:val="tbH"/>
    <w:uiPriority w:val="99"/>
    <w:tblPr>
      <w:tblBorders>
        <w:top w:val="single" w:sz="1" w:space="0" w:color="auto"/>
        <w:bottom w:val="single" w:sz="1" w:space="0" w:color="auto"/>
      </w:tblBorders>
      <w:tblCellMar>
        <w:top w:w="0" w:type="dxa"/>
        <w:left w:w="25" w:type="dxa"/>
        <w:bottom w:w="0" w:type="dxa"/>
        <w:right w:w="0" w:type="dxa"/>
      </w:tblCellMar>
    </w:tblPr>
  </w:style>
  <w:style w:type="character" w:customStyle="1" w:styleId="header2">
    <w:name w:val="header_2"/>
    <w:rPr>
      <w:sz w:val="4"/>
      <w:szCs w:val="4"/>
    </w:rPr>
  </w:style>
  <w:style w:type="character" w:customStyle="1" w:styleId="header4">
    <w:name w:val="header_4"/>
    <w:rPr>
      <w:sz w:val="8"/>
      <w:szCs w:val="8"/>
    </w:rPr>
  </w:style>
  <w:style w:type="character" w:customStyle="1" w:styleId="header10">
    <w:name w:val="header_10"/>
    <w:rPr>
      <w:sz w:val="16"/>
      <w:szCs w:val="16"/>
    </w:rPr>
  </w:style>
  <w:style w:type="character" w:customStyle="1" w:styleId="header12">
    <w:name w:val="header_12"/>
    <w:rPr>
      <w:sz w:val="24"/>
      <w:szCs w:val="24"/>
    </w:rPr>
  </w:style>
  <w:style w:type="character" w:customStyle="1" w:styleId="header15">
    <w:name w:val="header_15"/>
    <w:rPr>
      <w:sz w:val="30"/>
      <w:szCs w:val="30"/>
    </w:rPr>
  </w:style>
  <w:style w:type="character" w:customStyle="1" w:styleId="headerB8">
    <w:name w:val="headerB_8"/>
    <w:rPr>
      <w:b/>
      <w:sz w:val="16"/>
      <w:szCs w:val="16"/>
    </w:rPr>
  </w:style>
  <w:style w:type="character" w:customStyle="1" w:styleId="header8gr">
    <w:name w:val="header_8_gr"/>
    <w:rPr>
      <w:color w:val="999999"/>
      <w:sz w:val="16"/>
      <w:szCs w:val="16"/>
    </w:rPr>
  </w:style>
  <w:style w:type="character" w:customStyle="1" w:styleId="headerB8gr">
    <w:name w:val="headerB_8_gr"/>
    <w:rPr>
      <w:b/>
      <w:color w:val="999999"/>
      <w:sz w:val="16"/>
      <w:szCs w:val="16"/>
    </w:rPr>
  </w:style>
  <w:style w:type="character" w:customStyle="1" w:styleId="headerB10">
    <w:name w:val="headerB_10"/>
    <w:rPr>
      <w:b/>
    </w:rPr>
  </w:style>
  <w:style w:type="character" w:customStyle="1" w:styleId="headerB11">
    <w:name w:val="headerB_11"/>
    <w:rPr>
      <w:b/>
      <w:sz w:val="22"/>
      <w:szCs w:val="22"/>
    </w:rPr>
  </w:style>
  <w:style w:type="character" w:customStyle="1" w:styleId="headerB12">
    <w:name w:val="headerB_12"/>
    <w:rPr>
      <w:b/>
      <w:sz w:val="24"/>
      <w:szCs w:val="24"/>
    </w:rPr>
  </w:style>
  <w:style w:type="character" w:customStyle="1" w:styleId="headerAB25">
    <w:name w:val="headerAB_25"/>
    <w:rPr>
      <w:rFonts w:ascii="Arial Black" w:hAnsi="Arial Black" w:cs="Arial Black"/>
      <w:b/>
      <w:sz w:val="50"/>
      <w:szCs w:val="50"/>
    </w:rPr>
  </w:style>
  <w:style w:type="character" w:customStyle="1" w:styleId="headerAB20">
    <w:name w:val="headerAB_20"/>
    <w:rPr>
      <w:rFonts w:ascii="Arial Black" w:hAnsi="Arial Black" w:cs="Arial Black"/>
      <w:b/>
      <w:sz w:val="40"/>
      <w:szCs w:val="40"/>
    </w:rPr>
  </w:style>
  <w:style w:type="character" w:customStyle="1" w:styleId="headerBI12">
    <w:name w:val="headerBI_12"/>
    <w:rPr>
      <w:b/>
      <w:i/>
      <w:iCs/>
      <w:sz w:val="24"/>
      <w:szCs w:val="24"/>
    </w:rPr>
  </w:style>
  <w:style w:type="character" w:customStyle="1" w:styleId="headerBI10">
    <w:name w:val="headerBI_10"/>
    <w:rPr>
      <w:b/>
      <w:i/>
      <w:iCs/>
    </w:rPr>
  </w:style>
  <w:style w:type="paragraph" w:customStyle="1" w:styleId="pHeader12">
    <w:name w:val="pHeader_12"/>
    <w:pPr>
      <w:spacing w:after="0"/>
    </w:pPr>
  </w:style>
  <w:style w:type="paragraph" w:customStyle="1" w:styleId="pHeader10">
    <w:name w:val="pHeader_10"/>
    <w:pPr>
      <w:spacing w:after="0"/>
    </w:pPr>
  </w:style>
  <w:style w:type="paragraph" w:customStyle="1" w:styleId="listitem">
    <w:name w:val="list_item"/>
    <w:pPr>
      <w:spacing w:after="0"/>
    </w:pPr>
  </w:style>
  <w:style w:type="character" w:customStyle="1" w:styleId="CALIBRIBOLD26">
    <w:name w:val="CALIBRI_BOLD_26"/>
    <w:rPr>
      <w:rFonts w:ascii="Calibri" w:hAnsi="Calibri" w:cs="Calibri"/>
      <w:b/>
      <w:sz w:val="52"/>
      <w:szCs w:val="52"/>
    </w:rPr>
  </w:style>
  <w:style w:type="character" w:customStyle="1" w:styleId="CALIBRIBOLD16WHITE">
    <w:name w:val="CALIBRI_BOLD_16_WHITE"/>
    <w:rPr>
      <w:rFonts w:ascii="Calibri" w:hAnsi="Calibri" w:cs="Calibri"/>
      <w:b/>
      <w:color w:val="FFFFFF"/>
      <w:sz w:val="32"/>
      <w:szCs w:val="32"/>
    </w:rPr>
  </w:style>
  <w:style w:type="character" w:customStyle="1" w:styleId="CALIBRIBOLD16">
    <w:name w:val="CALIBRI_BOLD_16"/>
    <w:rPr>
      <w:rFonts w:ascii="Calibri" w:hAnsi="Calibri" w:cs="Calibri"/>
      <w:b/>
      <w:sz w:val="32"/>
      <w:szCs w:val="32"/>
    </w:rPr>
  </w:style>
  <w:style w:type="character" w:customStyle="1" w:styleId="CALIBRI12">
    <w:name w:val="CALIBRI_12"/>
    <w:rPr>
      <w:rFonts w:ascii="Calibri" w:hAnsi="Calibri" w:cs="Calibri"/>
      <w:sz w:val="24"/>
      <w:szCs w:val="24"/>
    </w:rPr>
  </w:style>
  <w:style w:type="character" w:customStyle="1" w:styleId="CALIBRIBOLD12">
    <w:name w:val="CALIBRI_BOLD_12"/>
    <w:rPr>
      <w:rFonts w:ascii="Calibri" w:hAnsi="Calibri" w:cs="Calibri"/>
      <w:b/>
      <w:sz w:val="24"/>
      <w:szCs w:val="24"/>
    </w:rPr>
  </w:style>
  <w:style w:type="character" w:customStyle="1" w:styleId="CALIBRIBOLD12WHITE">
    <w:name w:val="CALIBRI_BOLD_12_WHITE"/>
    <w:rPr>
      <w:rFonts w:ascii="Calibri" w:hAnsi="Calibri" w:cs="Calibri"/>
      <w:b/>
      <w:color w:val="FFFFFF"/>
      <w:sz w:val="24"/>
      <w:szCs w:val="24"/>
    </w:rPr>
  </w:style>
  <w:style w:type="character" w:customStyle="1" w:styleId="CALIBRI11">
    <w:name w:val="CALIBRI_11"/>
    <w:rPr>
      <w:rFonts w:ascii="Calibri" w:hAnsi="Calibri" w:cs="Calibri"/>
      <w:sz w:val="22"/>
      <w:szCs w:val="22"/>
    </w:rPr>
  </w:style>
  <w:style w:type="character" w:customStyle="1" w:styleId="CALIBRIBOLD11">
    <w:name w:val="CALIBRI_BOLD_11"/>
    <w:rPr>
      <w:rFonts w:ascii="Calibri" w:hAnsi="Calibri" w:cs="Calibri"/>
      <w:b/>
      <w:sz w:val="22"/>
      <w:szCs w:val="22"/>
    </w:rPr>
  </w:style>
  <w:style w:type="character" w:customStyle="1" w:styleId="CALIBRIITALIC11">
    <w:name w:val="CALIBRI_ITALIC_11"/>
    <w:rPr>
      <w:rFonts w:ascii="Calibri" w:hAnsi="Calibri" w:cs="Calibri"/>
      <w:i/>
      <w:iCs/>
      <w:sz w:val="22"/>
      <w:szCs w:val="22"/>
    </w:rPr>
  </w:style>
  <w:style w:type="character" w:customStyle="1" w:styleId="CALIBRIBOLDITALIC11">
    <w:name w:val="CALIBRI_BOLD_ITALIC_11"/>
    <w:rPr>
      <w:rFonts w:ascii="Calibri" w:hAnsi="Calibri" w:cs="Calibri"/>
      <w:b/>
      <w:i/>
      <w:iCs/>
      <w:sz w:val="22"/>
      <w:szCs w:val="22"/>
    </w:rPr>
  </w:style>
  <w:style w:type="character" w:customStyle="1" w:styleId="CALIBRIUNDERLINEITALIC11">
    <w:name w:val="CALIBRI_UNDERLINE_ITALIC_11"/>
    <w:rPr>
      <w:rFonts w:ascii="Calibri" w:hAnsi="Calibri" w:cs="Calibri"/>
      <w:i/>
      <w:iCs/>
      <w:sz w:val="22"/>
      <w:szCs w:val="22"/>
      <w:u w:val="single"/>
    </w:rPr>
  </w:style>
  <w:style w:type="table" w:customStyle="1" w:styleId="tblP">
    <w:name w:val="tblP"/>
    <w:uiPriority w:val="99"/>
    <w:tblPr>
      <w:tblCellMar>
        <w:top w:w="50" w:type="dxa"/>
        <w:left w:w="50" w:type="dxa"/>
        <w:bottom w:w="50" w:type="dxa"/>
        <w:right w:w="50" w:type="dxa"/>
      </w:tblCellMar>
    </w:tblPr>
  </w:style>
  <w:style w:type="table" w:customStyle="1" w:styleId="tblP1">
    <w:name w:val="tblP1"/>
    <w:uiPriority w:val="99"/>
    <w:tblPr>
      <w:tblCellMar>
        <w:top w:w="50" w:type="dxa"/>
        <w:left w:w="50" w:type="dxa"/>
        <w:bottom w:w="50" w:type="dxa"/>
        <w:right w:w="5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1954</Words>
  <Characters>11139</Characters>
  <Application>Microsoft Office Word</Application>
  <DocSecurity>0</DocSecurity>
  <Lines>92</Lines>
  <Paragraphs>26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/>
  <LinksUpToDate>false</LinksUpToDate>
  <CharactersWithSpaces>13067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Agencija05</dc:creator>
  <cp:keywords/>
  <dc:description/>
  <cp:lastModifiedBy>Agencija05</cp:lastModifiedBy>
  <cp:revision>2</cp:revision>
  <dcterms:created xsi:type="dcterms:W3CDTF">2022-03-03T12:55:00Z</dcterms:created>
  <dcterms:modified xsi:type="dcterms:W3CDTF">2022-03-03T12:55:00Z</dcterms:modified>
  <cp:category/>
</cp:coreProperties>
</file>