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0CA" w:rsidRDefault="00837D92">
      <w:pPr>
        <w:spacing w:after="0"/>
        <w:jc w:val="center"/>
      </w:pPr>
      <w:r>
        <w:rPr>
          <w:rStyle w:val="CALIBRIBOLD16"/>
        </w:rPr>
        <w:t>ИЗВЈЕШТАЈ РЕЦЕНЗЕНТА ЗА СТУДИЈСКИ ПРОГРАМ</w:t>
      </w:r>
    </w:p>
    <w:p w:rsidR="003040CA" w:rsidRDefault="003040CA"/>
    <w:tbl>
      <w:tblPr>
        <w:tblStyle w:val="tblP"/>
        <w:tblW w:w="0" w:type="auto"/>
        <w:tblInd w:w="0" w:type="dxa"/>
        <w:tblLook w:val="04A0" w:firstRow="1" w:lastRow="0" w:firstColumn="1" w:lastColumn="0" w:noHBand="0" w:noVBand="1"/>
      </w:tblPr>
      <w:tblGrid>
        <w:gridCol w:w="3748"/>
        <w:gridCol w:w="944"/>
        <w:gridCol w:w="916"/>
        <w:gridCol w:w="4598"/>
      </w:tblGrid>
      <w:tr w:rsidR="003040CA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0000"/>
            <w:vAlign w:val="center"/>
          </w:tcPr>
          <w:p w:rsidR="003040CA" w:rsidRDefault="00837D92">
            <w:pPr>
              <w:spacing w:after="0"/>
            </w:pPr>
            <w:r>
              <w:rPr>
                <w:rStyle w:val="CALIBRIBOLD12WHITE"/>
              </w:rPr>
              <w:t>Преглед</w:t>
            </w:r>
          </w:p>
        </w:tc>
      </w:tr>
      <w:tr w:rsidR="003040CA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0000"/>
            <w:vAlign w:val="center"/>
          </w:tcPr>
          <w:p w:rsidR="003040CA" w:rsidRDefault="00837D92">
            <w:pPr>
              <w:spacing w:after="0"/>
            </w:pPr>
            <w:r>
              <w:rPr>
                <w:rStyle w:val="CALIBRIBOLD12WHITE"/>
              </w:rPr>
              <w:t>Подаци о високошколској установи</w:t>
            </w:r>
          </w:p>
        </w:tc>
      </w:tr>
      <w:tr w:rsidR="003040CA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</w:pPr>
            <w:r>
              <w:rPr>
                <w:rStyle w:val="CALIBRIBOLD11"/>
              </w:rPr>
              <w:t>Назив, адреса и е-маил адреса институције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</w:pPr>
            <w:r>
              <w:rPr>
                <w:rStyle w:val="CALIBRI11"/>
              </w:rPr>
              <w:t>Слобомир П Универзитет Павловића пут 76, Бијељина Info@spu.ba</w:t>
            </w:r>
          </w:p>
        </w:tc>
      </w:tr>
      <w:tr w:rsidR="003040CA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</w:pPr>
            <w:r>
              <w:rPr>
                <w:rStyle w:val="CALIBRIBOLD11"/>
              </w:rPr>
              <w:t>Интернет адреса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</w:pPr>
            <w:r>
              <w:rPr>
                <w:rStyle w:val="CALIBRI11"/>
              </w:rPr>
              <w:t>http://spu.ba/</w:t>
            </w:r>
          </w:p>
        </w:tc>
      </w:tr>
      <w:tr w:rsidR="003040CA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</w:pPr>
            <w:r>
              <w:rPr>
                <w:rStyle w:val="CALIBRIBOLD11"/>
              </w:rPr>
              <w:t>Назив, број и датум акта о оснивању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</w:pPr>
            <w:r>
              <w:rPr>
                <w:rStyle w:val="CALIBRI11"/>
              </w:rPr>
              <w:t>Одлука о оснивању Слобомир П Универзитета, Слобомир Бијељина; Акт о оснивању, одлука бр. 6-01-1272/03 од дана 08.04.2003. године</w:t>
            </w:r>
          </w:p>
        </w:tc>
      </w:tr>
      <w:tr w:rsidR="003040CA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</w:pPr>
            <w:r>
              <w:rPr>
                <w:rStyle w:val="CALIBRIBOLD11"/>
              </w:rPr>
              <w:t>Пореско-идентификациони број (ПИБ)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</w:pPr>
            <w:r>
              <w:rPr>
                <w:rStyle w:val="CALIBRI11"/>
              </w:rPr>
              <w:t>4401904060002</w:t>
            </w:r>
          </w:p>
        </w:tc>
      </w:tr>
      <w:tr w:rsidR="003040CA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</w:pPr>
            <w:r>
              <w:rPr>
                <w:rStyle w:val="CALIBRIBOLD11"/>
              </w:rPr>
              <w:t>Матични број додијељен од Републичког завода за статистику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</w:pPr>
            <w:r>
              <w:rPr>
                <w:rStyle w:val="CALIBRI11"/>
              </w:rPr>
              <w:t>1970372</w:t>
            </w:r>
          </w:p>
        </w:tc>
      </w:tr>
      <w:tr w:rsidR="003040CA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</w:pPr>
            <w:r>
              <w:rPr>
                <w:rStyle w:val="CALIBRIBOLD11"/>
              </w:rPr>
              <w:t>Име, презиме и адреса (назив и сједиште) оснивача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</w:pPr>
            <w:r>
              <w:rPr>
                <w:rStyle w:val="CALIBRI11"/>
              </w:rPr>
              <w:t>Мира и Слободан Павловић</w:t>
            </w:r>
          </w:p>
        </w:tc>
      </w:tr>
      <w:tr w:rsidR="003040CA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</w:pPr>
            <w:r>
              <w:rPr>
                <w:rStyle w:val="CALIBRIBOLD11"/>
              </w:rPr>
              <w:t>Број и датум одлуке о именовању лица овлашћеног за заступање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</w:pPr>
            <w:r>
              <w:rPr>
                <w:rStyle w:val="CALIBRI11"/>
              </w:rPr>
              <w:t>-</w:t>
            </w:r>
          </w:p>
        </w:tc>
      </w:tr>
      <w:tr w:rsidR="003040CA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</w:pPr>
            <w:r>
              <w:rPr>
                <w:rStyle w:val="CALIBRIBOLD11"/>
              </w:rPr>
              <w:t>Број и датум дозволе за рад високошколске установе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</w:pPr>
            <w:r>
              <w:rPr>
                <w:rStyle w:val="CALIBRI11"/>
              </w:rPr>
              <w:t>Одлука о испуњавању услова за почетак рада Слобомир П Универзитета Бијељина) бр. 6-01-6567/04 од дана од 27.12.2004. године; бр. 07.2-9622/07 од дана од 28.12.2007. године</w:t>
            </w:r>
          </w:p>
        </w:tc>
      </w:tr>
      <w:tr w:rsidR="003040CA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</w:pPr>
            <w:r>
              <w:rPr>
                <w:rStyle w:val="CALIBRIBOLD11"/>
              </w:rPr>
              <w:t>Број и датум дозволе за рад ван сједишта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</w:pPr>
            <w:r>
              <w:rPr>
                <w:rStyle w:val="CALIBRI11"/>
              </w:rPr>
              <w:t>Одлука бр. 07.2-9622-1/07 од дана од 28.12.2007. године</w:t>
            </w:r>
          </w:p>
        </w:tc>
      </w:tr>
      <w:tr w:rsidR="003040CA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</w:pPr>
            <w:r>
              <w:rPr>
                <w:rStyle w:val="CALIBRIBOLD11"/>
              </w:rPr>
              <w:t>Организационе јединице које се посјећују и одговорна лица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3040CA">
            <w:pPr>
              <w:spacing w:after="0"/>
            </w:pPr>
          </w:p>
        </w:tc>
      </w:tr>
      <w:tr w:rsidR="003040CA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</w:pPr>
            <w:r>
              <w:rPr>
                <w:rStyle w:val="CALIBRIBOLD11"/>
              </w:rPr>
              <w:t>Контакт особа: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3040CA">
            <w:pPr>
              <w:spacing w:after="0"/>
            </w:pPr>
          </w:p>
        </w:tc>
      </w:tr>
      <w:tr w:rsidR="003040CA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</w:pPr>
            <w:r>
              <w:rPr>
                <w:rStyle w:val="CALIBRIBOLD11"/>
              </w:rPr>
              <w:t>Број телефона: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</w:pPr>
            <w:r>
              <w:rPr>
                <w:rStyle w:val="CALIBRI11"/>
              </w:rPr>
              <w:t>+38755231101, +38753209621</w:t>
            </w:r>
          </w:p>
        </w:tc>
      </w:tr>
      <w:tr w:rsidR="003040CA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3040CA" w:rsidRDefault="00837D92">
            <w:pPr>
              <w:spacing w:after="0"/>
            </w:pPr>
            <w:r>
              <w:rPr>
                <w:rStyle w:val="CALIBRIBOLD12"/>
              </w:rPr>
              <w:t>Програми пријављени за евалуацију</w:t>
            </w:r>
          </w:p>
        </w:tc>
      </w:tr>
      <w:tr w:rsidR="003040CA">
        <w:trPr>
          <w:trHeight w:val="300"/>
        </w:trPr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</w:pPr>
            <w:r>
              <w:rPr>
                <w:rStyle w:val="CALIBRIBOLD11"/>
              </w:rPr>
              <w:t>Назив студијског програма</w:t>
            </w:r>
          </w:p>
        </w:tc>
        <w:tc>
          <w:tcPr>
            <w:tcW w:w="2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</w:pPr>
            <w:r>
              <w:rPr>
                <w:rStyle w:val="CALIBRIBOLD11"/>
              </w:rPr>
              <w:t>Ниво студија</w:t>
            </w:r>
          </w:p>
        </w:tc>
        <w:tc>
          <w:tcPr>
            <w:tcW w:w="5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</w:pPr>
            <w:r>
              <w:rPr>
                <w:rStyle w:val="CALIBRIBOLD11"/>
              </w:rPr>
              <w:t>Назив(и) излазних квалификација</w:t>
            </w:r>
          </w:p>
        </w:tc>
      </w:tr>
      <w:tr w:rsidR="003040CA">
        <w:trPr>
          <w:trHeight w:val="300"/>
        </w:trPr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</w:pPr>
            <w:r>
              <w:rPr>
                <w:rStyle w:val="CALIBRI11"/>
              </w:rPr>
              <w:t>ПОРЕСКО-ФИНАНСИЈСКА АНАЛИЗА</w:t>
            </w:r>
          </w:p>
        </w:tc>
        <w:tc>
          <w:tcPr>
            <w:tcW w:w="2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</w:pPr>
            <w:r>
              <w:rPr>
                <w:rStyle w:val="CALIBRI11"/>
              </w:rPr>
              <w:t xml:space="preserve">први </w:t>
            </w:r>
          </w:p>
        </w:tc>
        <w:tc>
          <w:tcPr>
            <w:tcW w:w="5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</w:pPr>
            <w:r>
              <w:rPr>
                <w:rStyle w:val="CALIBRI11"/>
              </w:rPr>
              <w:t>Дипломирани економиста за порески систем-240 ЕЦТС, Дипломирани економиста за порески систем-180 ЕЦТС</w:t>
            </w:r>
          </w:p>
        </w:tc>
      </w:tr>
    </w:tbl>
    <w:p w:rsidR="003040CA" w:rsidRDefault="00837D92">
      <w:r>
        <w:br w:type="page"/>
      </w:r>
    </w:p>
    <w:tbl>
      <w:tblPr>
        <w:tblStyle w:val="tblP"/>
        <w:tblW w:w="0" w:type="auto"/>
        <w:tblInd w:w="0" w:type="dxa"/>
        <w:tblLook w:val="04A0" w:firstRow="1" w:lastRow="0" w:firstColumn="1" w:lastColumn="0" w:noHBand="0" w:noVBand="1"/>
      </w:tblPr>
      <w:tblGrid>
        <w:gridCol w:w="10206"/>
      </w:tblGrid>
      <w:tr w:rsidR="003040CA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3040CA" w:rsidRDefault="00837D92">
            <w:pPr>
              <w:spacing w:after="0"/>
            </w:pPr>
            <w:r>
              <w:rPr>
                <w:rStyle w:val="CALIBRIBOLD11"/>
              </w:rPr>
              <w:lastRenderedPageBreak/>
              <w:t>ДОБРЕ СТРАНЕ</w:t>
            </w:r>
          </w:p>
        </w:tc>
      </w:tr>
      <w:tr w:rsidR="003040CA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  <w:jc w:val="both"/>
            </w:pPr>
            <w:r>
              <w:rPr>
                <w:rStyle w:val="CALIBRIBOLD11"/>
              </w:rPr>
              <w:t>Б.2 Креирање и одобравање студијских програма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Високошколска установа има Правилник о увођењу, измјени и допуни студијских програма којим дефинише начин усвајања студијских програма, процесе развоја студијских програма и излазних квалификација. Заснован је на донесеној Стратегији Универзитета и у складу са Стратегијом развоја образовања РС.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У наведеном документу, Књига предмета, детаљно су разложени циљеви и садржај предмета у складу са очекиваним излазним квалификацијама.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У оквиру Извјештаја о самовредновању идентификовани су и усвојени значаји исхода учења на нивоу студијског програма. Ради осигурања вертикалне и хоризонталне конзистентности студијских програма, одређено је пет кључних исхода студирања:</w:t>
            </w: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Исход 1 - Посједовање теоријског знања из референтне области студијског програма;</w:t>
            </w: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 xml:space="preserve">Исход 2 - Разумијевање и вредновање научних спознаја и стављање у корелацију са </w:t>
            </w: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 xml:space="preserve">                глобалним процесима који се одвијају у свијету;</w:t>
            </w: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Исход 3 - Коришћење методолошких приступа у рјешавању проблемских ситуација;</w:t>
            </w: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Исход 4 - Примјена знања у пракси;</w:t>
            </w: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 xml:space="preserve">Исход 5 - Овладавање техникама тимског рада, комуницирања и другим практичним </w:t>
            </w: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 xml:space="preserve">                 вјештинама.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 xml:space="preserve">Образовни циљеви су дефинисани и образложени те јавно доступни на сајту Универзитета. </w:t>
            </w:r>
            <w:r w:rsidR="000F3E09">
              <w:rPr>
                <w:rStyle w:val="CALIBRI11"/>
              </w:rPr>
              <w:t>Врши се у</w:t>
            </w:r>
            <w:r>
              <w:rPr>
                <w:rStyle w:val="CALIBRI11"/>
              </w:rPr>
              <w:t xml:space="preserve">склађивање са потребама тржишта и </w:t>
            </w:r>
            <w:r w:rsidR="000F3E09">
              <w:rPr>
                <w:rStyle w:val="CALIBRI11"/>
              </w:rPr>
              <w:t xml:space="preserve">путем </w:t>
            </w:r>
            <w:r>
              <w:rPr>
                <w:rStyle w:val="CALIBRI11"/>
              </w:rPr>
              <w:t>повратн</w:t>
            </w:r>
            <w:r w:rsidR="000F3E09">
              <w:rPr>
                <w:rStyle w:val="CALIBRI11"/>
              </w:rPr>
              <w:t>их</w:t>
            </w:r>
            <w:r>
              <w:rPr>
                <w:rStyle w:val="CALIBRI11"/>
              </w:rPr>
              <w:t xml:space="preserve"> информациј</w:t>
            </w:r>
            <w:r w:rsidR="000F3E09">
              <w:rPr>
                <w:rStyle w:val="CALIBRI11"/>
              </w:rPr>
              <w:t>а</w:t>
            </w:r>
            <w:r>
              <w:rPr>
                <w:rStyle w:val="CALIBRI11"/>
              </w:rPr>
              <w:t xml:space="preserve"> од студената и трећих страна. Усклађеност студијског програма је дата кроз поређење са више иностраних студијских програма.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 xml:space="preserve">Кроз документ Књига предмета Високошколска установа детаљно приказује план и програм предмета по семестрима. У Правилнику о увођењу, измјени и допуни студијских програма видљива је процедура за развој и увођење иновација у наставне планове и програме 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Студенти учествују у раду Универзитета кроз представнике које бирају, а који су укључени у процес управљања Универзитетом као чланови Управног одбора и Сената</w:t>
            </w:r>
            <w:r w:rsidR="000F3E09">
              <w:rPr>
                <w:rStyle w:val="CALIBRI11"/>
              </w:rPr>
              <w:t>,</w:t>
            </w:r>
            <w:r>
              <w:rPr>
                <w:rStyle w:val="CALIBRI11"/>
              </w:rPr>
              <w:t xml:space="preserve"> што се види из документа Одлука о именовању чланова Сената. Доступна је стручна пракса и научно истраживачки рад за студенте који желе да се укључе у процес.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Прилагођавање НПП се врши периодично у сарадњи са релевантним институцијама и у складу са захтјевима тр</w:t>
            </w:r>
            <w:r w:rsidR="000F3E09">
              <w:rPr>
                <w:rStyle w:val="CALIBRI11"/>
              </w:rPr>
              <w:t>жишта рада и п</w:t>
            </w:r>
            <w:r>
              <w:rPr>
                <w:rStyle w:val="CALIBRI11"/>
              </w:rPr>
              <w:t>овезаност</w:t>
            </w:r>
            <w:r w:rsidR="000F3E09">
              <w:rPr>
                <w:rStyle w:val="CALIBRI11"/>
              </w:rPr>
              <w:t>и</w:t>
            </w:r>
            <w:r>
              <w:rPr>
                <w:rStyle w:val="CALIBRI11"/>
              </w:rPr>
              <w:t xml:space="preserve"> са пословном заједницом, средњим школама и заинтересованим лицима. У Самоевалуационом извјештају за студијски програм наведене су планиране активности за реализацију мјера за наредни период.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 xml:space="preserve">Рачунање и додјељивање ЕЦТС бодова појединим предметима је прописано и усклађено са смјерницама Водича за кориснике ЕЦТС-а као главног инструмента Европског простора високог образовања (ЕХЕА-е) и </w:t>
            </w:r>
            <w:r>
              <w:rPr>
                <w:rStyle w:val="CALIBRI11"/>
              </w:rPr>
              <w:lastRenderedPageBreak/>
              <w:t>документом Правилник о увођењу, измјени и допуни студијских програма.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Универзитет је од 2015. године увео тестирање на плагијат. Тестирање на плагијат дипломских радова се врши на захтјев ментора уколико исти посумња у квалитет дипломског рада, а на другом и тре</w:t>
            </w:r>
            <w:r w:rsidR="00FA7F92">
              <w:rPr>
                <w:rStyle w:val="CALIBRI11"/>
                <w:lang w:val="sr-Cyrl-BA"/>
              </w:rPr>
              <w:t>ћ</w:t>
            </w:r>
            <w:r>
              <w:rPr>
                <w:rStyle w:val="CALIBRI11"/>
              </w:rPr>
              <w:t>ем циклусу обавезно је тестирање завршних радова.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FA7F92">
            <w:pPr>
              <w:spacing w:after="0"/>
              <w:jc w:val="both"/>
            </w:pPr>
            <w:r>
              <w:rPr>
                <w:rStyle w:val="CALIBRI11"/>
              </w:rPr>
              <w:t xml:space="preserve">Документа са којима Високошколска установа </w:t>
            </w:r>
            <w:r w:rsidR="00837D92">
              <w:rPr>
                <w:rStyle w:val="CALIBRI11"/>
              </w:rPr>
              <w:t>врши ускл</w:t>
            </w:r>
            <w:r w:rsidR="000F3E09">
              <w:rPr>
                <w:rStyle w:val="CALIBRI11"/>
              </w:rPr>
              <w:t>ађивање, праћ</w:t>
            </w:r>
            <w:r w:rsidR="00837D92">
              <w:rPr>
                <w:rStyle w:val="CALIBRI11"/>
              </w:rPr>
              <w:t>ење</w:t>
            </w:r>
            <w:r w:rsidR="000F3E09">
              <w:rPr>
                <w:rStyle w:val="CALIBRI11"/>
              </w:rPr>
              <w:t xml:space="preserve"> научних и практичних достигнућ</w:t>
            </w:r>
            <w:r w:rsidR="00837D92">
              <w:rPr>
                <w:rStyle w:val="CALIBRI11"/>
              </w:rPr>
              <w:t>а, усклађивање наставног плана и развијање студијских програма су Стратегија развоја образовања Републике Српске, Европски квалификацијски оквир за високо образовање, Државни (национални) квалификацијски оквир, Основе квалификацијског оквира у Босни и Херцеговини.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Високошколска установа у документацији наводи анкетирање послода</w:t>
            </w:r>
            <w:r w:rsidR="000F3E09">
              <w:rPr>
                <w:rStyle w:val="CALIBRI11"/>
              </w:rPr>
              <w:t>ваца као континуиран начин праћ</w:t>
            </w:r>
            <w:r>
              <w:rPr>
                <w:rStyle w:val="CALIBRI11"/>
              </w:rPr>
              <w:t>ења стечених знања и компетенција. Комуникацијом са дипломираним студентима провјерава се квалитет стечених квалификација и знања.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BOLD11"/>
              </w:rPr>
              <w:t>Б.3 Учење, подучавање и оцјењивање усмјерено ка студенту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Студент</w:t>
            </w:r>
            <w:r w:rsidR="00FA7F92">
              <w:rPr>
                <w:rStyle w:val="CALIBRI11"/>
              </w:rPr>
              <w:t>и су укључени у рад У</w:t>
            </w:r>
            <w:r w:rsidR="00FA7F92">
              <w:rPr>
                <w:rStyle w:val="CALIBRI11"/>
                <w:lang w:val="sr-Cyrl-BA"/>
              </w:rPr>
              <w:t>станове</w:t>
            </w:r>
            <w:r>
              <w:rPr>
                <w:rStyle w:val="CALIBRI11"/>
              </w:rPr>
              <w:t xml:space="preserve"> кроз представнике које бирају, а који су укључени у процес управљања Универзитетом</w:t>
            </w:r>
            <w:r w:rsidR="000F3E09">
              <w:rPr>
                <w:rStyle w:val="CALIBRI11"/>
              </w:rPr>
              <w:t>.</w:t>
            </w:r>
            <w:r>
              <w:rPr>
                <w:rStyle w:val="CALIBRI11"/>
              </w:rPr>
              <w:t xml:space="preserve"> Студентима је омогу</w:t>
            </w:r>
            <w:r w:rsidR="000F3E09">
              <w:rPr>
                <w:rStyle w:val="CALIBRI11"/>
              </w:rPr>
              <w:t>ћ</w:t>
            </w:r>
            <w:r>
              <w:rPr>
                <w:rStyle w:val="CALIBRI11"/>
              </w:rPr>
              <w:t xml:space="preserve">ено да путем анкета дају мишљење о наставним процесима и оцјени студијских програма. Учешће студената се повећава интерактивним обликом наставе. 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 xml:space="preserve">Студенти су укључени у процес креирања процеса учења на више начина, а </w:t>
            </w:r>
            <w:r w:rsidR="000F3E09">
              <w:rPr>
                <w:rStyle w:val="CALIBRI11"/>
              </w:rPr>
              <w:t xml:space="preserve">у те сврхе </w:t>
            </w:r>
            <w:r>
              <w:rPr>
                <w:rStyle w:val="CALIBRI11"/>
              </w:rPr>
              <w:t xml:space="preserve">високошколска установа примјењује: Правила студирања; Правилник о студентском вредновању квалитета студија; Правилник о обезбјеђењу квалитета. Студенти се оцјењују кроз јавно доступне процедуре за праведно, транспарентно и досљедно оцјењивање, као и кроз различите облике провјере знања и вјештина у складу са специфичностима и постављеним циљевима студијског програма. 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 xml:space="preserve">Правилником о студентском вредновању квалитета студија и Правилником о начину и поступку за обезбјеђење квалитета дефинисане су области, циљ, начела, методе и организација студентског вредновања квалитета студија. Студенти су укључени у процес управљања Универзитетом као чланови </w:t>
            </w:r>
            <w:r w:rsidR="000F3E09">
              <w:rPr>
                <w:rStyle w:val="CALIBRI11"/>
              </w:rPr>
              <w:t>Управног одбора и С</w:t>
            </w:r>
            <w:r>
              <w:rPr>
                <w:rStyle w:val="CALIBRI11"/>
              </w:rPr>
              <w:t xml:space="preserve">ената што се види из документа Одлука о именовању чланова Сената. </w:t>
            </w:r>
            <w:r w:rsidR="000F3E09">
              <w:rPr>
                <w:rStyle w:val="CALIBRI11"/>
              </w:rPr>
              <w:t>Други значајни документи су и</w:t>
            </w:r>
            <w:r>
              <w:rPr>
                <w:rStyle w:val="CALIBRI11"/>
              </w:rPr>
              <w:t>: Правилник о студентском вредновању квалитета студија, Етички кодекс Слобомир П универзитета и Правилник о дисциплинској одговорности студената Слобомир П универзитета.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BOLD11"/>
              </w:rPr>
              <w:t xml:space="preserve">Б.4 Упис и напредовање студената, признавање и сертификација   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Промовисање мобилности студената и праћење напредовања студената кроз критеријуме и услове прописане Статутом (чл.104), Правилима студирања на 1. и 2. циклусу студија и Правилником о преносу ЕЦТС бодова и еквиваленцији.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 xml:space="preserve">Усклађеност интерних докумената апликанта са Законом о високом образовању при упису студената. Овим актима дефинисана је процедура уписа студената која подразумијева да Универзитет утврђује критеријуме и начин на основу којих се врши класификација и избор кандидата за упис, те обавезу </w:t>
            </w:r>
            <w:r>
              <w:rPr>
                <w:rStyle w:val="CALIBRI11"/>
              </w:rPr>
              <w:lastRenderedPageBreak/>
              <w:t>Универзитета да распише конкурс за упис студената на студијске програме које изводи.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Универзитет по завршетку студија студенту издаје диплому и додатак дипломи  који описују стечену квалификацију, ниво, садржај и статус студија који је студент завршио у складу с Правилником о садржају јавних исправа које издају високошколске установе у РС.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Интерна акта Установе су уведена и прилагођена за лакшу размјену студената. Такође постоји и Канцеларија за међународну сарадњу која функционише кроз одјељке и има три члана: координатор за мобилност, координатор за научно-истраживачке пројекте и ЕЦТС координатор.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BOLD11"/>
              </w:rPr>
              <w:t>Б.5 Наставно особље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У звање наставника може бити изабран кандидат који испуњава услове прописане Законом о високом образовању, Статутом Универзитета апликанта и Правилником о условима и поступку избора академског особља.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Увидом у документацију утврђено је да Установа има довољан број компетентног академског особља за квалитетну реализацију студијског програма.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Подаци о наставном особљу и њиховом научно истраживачком раду су јавно доступни и на сајту Универзитета.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  <w:rPr>
                <w:rStyle w:val="CALIBRI11"/>
              </w:rPr>
            </w:pPr>
            <w:r>
              <w:rPr>
                <w:rStyle w:val="CALIBRI11"/>
              </w:rPr>
              <w:t>У складу са Стратегијом Установе, Универзитет осигурава обуку административног особља у складу с новим трендовима и реформама - основне обуке из информационих технологија, страни језици, захтјеви квалитета и сл.</w:t>
            </w:r>
          </w:p>
          <w:p w:rsidR="000F3E09" w:rsidRPr="000F3E09" w:rsidRDefault="000F3E09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Универзитет има развијене процедуре за евалуацију рада и напредовање административног особља. Такође, администартивно особље је укључено у анкете ненаставног и администартивног особља.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BOLD11"/>
              </w:rPr>
              <w:t xml:space="preserve">Б.6 Ресурси за учење и подршка студентима 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Из Самоевалуационог извјештаја,</w:t>
            </w:r>
            <w:r w:rsidR="000F3E09">
              <w:rPr>
                <w:rStyle w:val="CALIBRI11"/>
              </w:rPr>
              <w:t xml:space="preserve"> Апликационог обрасца те пратећ</w:t>
            </w:r>
            <w:r>
              <w:rPr>
                <w:rStyle w:val="CALIBRI11"/>
              </w:rPr>
              <w:t xml:space="preserve">е документације Установа има довољно рачунарске и друге неопходне опреме и ресурса за неометан рад и извођење активности у склопу студијског програма Пореско-финансијска анализа. Универзитет посједује властити информациони систем. 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Информисање студената се врши путем званичне веб презентације, портала страница предмета као и циркуларним мејловима на студентске мејлове. Студентима су путем сајта јавно доступни подаци о расположивим ресурсима и услугама. Информациони систем прикупља, анализира и користи информације битне за унапређење активности у настави, научно-истраживачком раду и пословној администрацији.</w:t>
            </w:r>
          </w:p>
          <w:p w:rsidR="003040CA" w:rsidRDefault="003040CA">
            <w:pPr>
              <w:spacing w:after="0"/>
              <w:jc w:val="both"/>
            </w:pPr>
          </w:p>
          <w:p w:rsidR="000F3E09" w:rsidRPr="000F3E09" w:rsidRDefault="000F3E09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BOLD11"/>
              </w:rPr>
              <w:lastRenderedPageBreak/>
              <w:t xml:space="preserve">Б.8 Информисање јавности   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Универзитет има интернетску страницу на којој објављује информације о студијским програмима и звањима које нуди, обавјештења за студенте, износ</w:t>
            </w:r>
            <w:r w:rsidR="00FA7F92">
              <w:rPr>
                <w:rStyle w:val="CALIBRI11"/>
              </w:rPr>
              <w:t xml:space="preserve"> школарине, информације о упис</w:t>
            </w:r>
            <w:r w:rsidR="00FA7F92">
              <w:rPr>
                <w:rStyle w:val="CALIBRI11"/>
                <w:lang w:val="sr-Cyrl-BA"/>
              </w:rPr>
              <w:t>у</w:t>
            </w:r>
            <w:r>
              <w:rPr>
                <w:rStyle w:val="CALIBRI11"/>
              </w:rPr>
              <w:t>, обавјештења за студенте, контакт, актуелности.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Апликант има доступне информације на интернетској страници на српском и енглеском јез</w:t>
            </w:r>
            <w:r w:rsidR="000F3E09">
              <w:rPr>
                <w:rStyle w:val="CALIBRI11"/>
              </w:rPr>
              <w:t>ику. За комуникацију са јавношћ</w:t>
            </w:r>
            <w:r>
              <w:rPr>
                <w:rStyle w:val="CALIBRI11"/>
              </w:rPr>
              <w:t>у користи и друштвене мреже, на које постоји линк у менију интернетске странице.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Сваке године се редовно израђују електро</w:t>
            </w:r>
            <w:r w:rsidR="000F3E09">
              <w:rPr>
                <w:rStyle w:val="CALIBRI11"/>
              </w:rPr>
              <w:t>нски и штампани водичи за будућ</w:t>
            </w:r>
            <w:r>
              <w:rPr>
                <w:rStyle w:val="CALIBRI11"/>
              </w:rPr>
              <w:t>е студенте. Осигурава се израда и дистрибуција информативних пакета и водича за бруцоше, који садрже све релевантне податке о студијским програмима, укључују</w:t>
            </w:r>
            <w:r w:rsidR="000F3E09">
              <w:rPr>
                <w:rStyle w:val="CALIBRI11"/>
              </w:rPr>
              <w:t>ћ</w:t>
            </w:r>
            <w:r>
              <w:rPr>
                <w:rStyle w:val="CALIBRI11"/>
              </w:rPr>
              <w:t>и наставни план и програм са бројем ЕЦТС-а и други промотивни материјали. Постоји и Информатор за студенте (флајери) – за све студијске програме првог циклуса.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BOLD11"/>
              </w:rPr>
              <w:t xml:space="preserve">Б.9 Континуирано праћење и периодична ревизија студијских програма 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362EB9">
            <w:pPr>
              <w:spacing w:after="0"/>
              <w:jc w:val="both"/>
            </w:pPr>
            <w:r>
              <w:rPr>
                <w:rStyle w:val="CALIBRI11"/>
              </w:rPr>
              <w:t>Праћ</w:t>
            </w:r>
            <w:r w:rsidR="00837D92">
              <w:rPr>
                <w:rStyle w:val="CALIBRI11"/>
              </w:rPr>
              <w:t>ење потреба тржишта рада и вршење редовних ревизија студијских програма врши се: 1. путем анкете за привреду која се континуирано спороводи у различитим привредним секторима. Анкета се анализира и на основу добијених података врше се адекватне измјене у студијским програмима које имају циљ да одговоре на уочене потребе на тржишту рада, 2.Научни скупови и округли столови које организује Универзитет, гдје учеш</w:t>
            </w:r>
            <w:r>
              <w:rPr>
                <w:rStyle w:val="CALIBRI11"/>
              </w:rPr>
              <w:t>ћ</w:t>
            </w:r>
            <w:r w:rsidR="00837D92">
              <w:rPr>
                <w:rStyle w:val="CALIBRI11"/>
              </w:rPr>
              <w:t>е узимају представници из привреде који дају свој допринос. 3. Веза се одржава и са Заводом за запошљавање, гдје се Универзитет информише о свим кључним индикаторима тржишта рада, укључују</w:t>
            </w:r>
            <w:r>
              <w:rPr>
                <w:rStyle w:val="CALIBRI11"/>
              </w:rPr>
              <w:t>ћ</w:t>
            </w:r>
            <w:r w:rsidR="00837D92">
              <w:rPr>
                <w:rStyle w:val="CALIBRI11"/>
              </w:rPr>
              <w:t>и и запосленост и структуру незапослених са степенима стручне спреме и врстама квалификација. 4. Врши се и редовно анкетирање наставног и ненаставног особља и матураната средњих школа.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Извршене анализе квалитета свих студијских програма су указале на одређене слабости и иницирали усвајање одређених мјера и активности за унапријеђење квалитета. У том смислу, потребно је:  1. Подизање квалитета студијских програма 2. Наставак развијања концепта „Студент у центру пажње“ 3. Унапријеђење система мјерења квалитета студијског програма 4. Успостављање боље сарадње са пословним сектором и тржиштем рада 5. Подизање квалитета студената. У оквиру сваке мјере дефинисане су конкретне активности који су наведене у Самоевалуационом извјештају за студијски програм Пореско-финансијска анализа.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  <w:rPr>
                <w:rStyle w:val="CALIBRIITALIC11"/>
              </w:rPr>
            </w:pPr>
            <w:r>
              <w:rPr>
                <w:rStyle w:val="CALIBRI11"/>
              </w:rPr>
              <w:t xml:space="preserve">Универзитет  има Правилник о увођењу, измјенама и допунама наставних планова и програма. На крају сваке школске године организује да студенти путем система за електронско анкетирање, евалуирају студијске програме кроз више димензија, што се види из достављених прилога -  Анкете и упитници, Известај о самовредновању и линк: </w:t>
            </w:r>
            <w:hyperlink r:id="rId7" w:history="1">
              <w:r w:rsidR="00362EB9" w:rsidRPr="00585D75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http://spu.ba/univerzitet/sporazumi-i-partnerstva/</w:t>
              </w:r>
            </w:hyperlink>
          </w:p>
          <w:p w:rsidR="00362EB9" w:rsidRDefault="00362EB9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BOLD11"/>
              </w:rPr>
              <w:t>Б.10</w:t>
            </w:r>
            <w:r>
              <w:rPr>
                <w:rStyle w:val="CALIBRIBOLD11"/>
              </w:rPr>
              <w:tab/>
              <w:t xml:space="preserve"> Периодично вањско осигурање квалитета  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 xml:space="preserve">Након извршене акредитације Слобомир П универзитета предузете су мјере на унапређењу квалитета и  </w:t>
            </w:r>
            <w:r>
              <w:rPr>
                <w:rStyle w:val="CALIBRI11"/>
              </w:rPr>
              <w:lastRenderedPageBreak/>
              <w:t>анализ</w:t>
            </w:r>
            <w:r w:rsidR="00607332">
              <w:rPr>
                <w:rStyle w:val="CALIBRI11"/>
              </w:rPr>
              <w:t>a</w:t>
            </w:r>
            <w:r>
              <w:rPr>
                <w:rStyle w:val="CALIBRI11"/>
              </w:rPr>
              <w:t xml:space="preserve"> достигнутог степена извршења планираних мјера.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Унапређења унутрашњег система осигурања квалитета која су произашла из препорука претходних евалуација Универзитет реализује кроз документа о Интерној евалуацији, стратегији развоја, стратегији квалитета, као и мјерама проистеклим из интерних евалуација.</w:t>
            </w:r>
          </w:p>
        </w:tc>
      </w:tr>
      <w:tr w:rsidR="003040CA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3040CA" w:rsidRDefault="00837D92">
            <w:pPr>
              <w:spacing w:after="0"/>
            </w:pPr>
            <w:r>
              <w:rPr>
                <w:rStyle w:val="CALIBRIBOLD11"/>
              </w:rPr>
              <w:lastRenderedPageBreak/>
              <w:t>СЛАБЕ СТРАНЕ</w:t>
            </w:r>
          </w:p>
        </w:tc>
      </w:tr>
      <w:tr w:rsidR="003040CA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  <w:jc w:val="both"/>
            </w:pPr>
            <w:r>
              <w:rPr>
                <w:rStyle w:val="CALIBRIBOLD11"/>
              </w:rPr>
              <w:t>Б.2 Креирање и одобравање студијских програма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Потребан детаљнији опис начина стицања практичног искуства студената.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 xml:space="preserve">Иако </w:t>
            </w:r>
            <w:r w:rsidR="00FA7F92">
              <w:rPr>
                <w:rStyle w:val="CALIBRI11"/>
                <w:lang w:val="sr-Cyrl-BA"/>
              </w:rPr>
              <w:t xml:space="preserve">Установа </w:t>
            </w:r>
            <w:r>
              <w:rPr>
                <w:rStyle w:val="CALIBRI11"/>
              </w:rPr>
              <w:t>посједује потребну документацију која регулише питања увођења и измјена студијских програма, није прецизирано колико често се ревидирају студијски програми.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BOLD11"/>
              </w:rPr>
              <w:t>Б.3 Учење, подучавање и оцјењивање усмјерено ка студенту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 xml:space="preserve">Нису предочени документи који прецизније регулишу жалбену процедуру и увид у радове. Било је покретања жалби на поступке оцјењивања. У појединим случајевима су осниване Комисије за оцјењивање док су неке од жалби рјешене без покретања поступка за оснивање комисије тако што је обављен разговор између предметног наставника и студента у присуству декана. 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BOLD11"/>
              </w:rPr>
              <w:t>Б.5 Наставно особље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 xml:space="preserve">Није креиран план запошљавања новог наставног кадра. 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Установа нема израђен годишњи извјештај о научним и стручним активностима. Анализа научног и стручног рада наставника доступна је на сајту Високошколске установе.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BOLD11"/>
              </w:rPr>
              <w:t xml:space="preserve">Б.8 Информисање јавности   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 xml:space="preserve">Wеб садржај о студијском програму није доступан на енглеском језику. </w:t>
            </w: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Презентоване су основне информације о студијском програму док појединачно предмети нису линковани, као ни силабуси предмета.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BOLD11"/>
              </w:rPr>
              <w:t xml:space="preserve">Б.9 Континуирано праћење и периодична ревизија студијских програма 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Не постоји евиденција о периодичним ревизијама студијских програма</w:t>
            </w:r>
            <w:r w:rsidR="00607332">
              <w:rPr>
                <w:rStyle w:val="CALIBRI11"/>
              </w:rPr>
              <w:t>, у смислу постојања записника</w:t>
            </w:r>
            <w:r>
              <w:rPr>
                <w:rStyle w:val="CALIBRI11"/>
              </w:rPr>
              <w:t>.</w:t>
            </w:r>
          </w:p>
        </w:tc>
      </w:tr>
      <w:tr w:rsidR="003040CA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3040CA" w:rsidRDefault="00837D92">
            <w:pPr>
              <w:spacing w:after="0"/>
            </w:pPr>
            <w:r>
              <w:rPr>
                <w:rStyle w:val="CALIBRIBOLD11"/>
              </w:rPr>
              <w:t>ПРЕПОРУКЕ ЗА УНАПРЕЂЕЊЕ</w:t>
            </w:r>
          </w:p>
        </w:tc>
      </w:tr>
      <w:tr w:rsidR="003040CA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0CA" w:rsidRDefault="00837D92">
            <w:pPr>
              <w:spacing w:after="0"/>
              <w:jc w:val="both"/>
            </w:pPr>
            <w:r>
              <w:rPr>
                <w:rStyle w:val="CALIBRIBOLD11"/>
              </w:rPr>
              <w:t>Б.2 Креирање и одобравање студијских програма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Развијати вредновање наставног процеса са аспекта исхода учења и у наредној фази усвојити предложене мјере унапређења дефинисане у Извјештају о самовредновању и оцјени квалитета.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 xml:space="preserve">Вршење мањих измјена силабуса у складу </w:t>
            </w:r>
            <w:r w:rsidR="00607332">
              <w:rPr>
                <w:rStyle w:val="CALIBRI11"/>
              </w:rPr>
              <w:t>са савременим научним достигнућ</w:t>
            </w:r>
            <w:r>
              <w:rPr>
                <w:rStyle w:val="CALIBRI11"/>
              </w:rPr>
              <w:t>има и могућностима стицања праксе.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 xml:space="preserve">Детаљније разрадити исходе учења према предмету </w:t>
            </w:r>
            <w:r w:rsidR="00607332">
              <w:rPr>
                <w:rStyle w:val="CALIBRI11"/>
              </w:rPr>
              <w:t xml:space="preserve">као </w:t>
            </w:r>
            <w:r>
              <w:rPr>
                <w:rStyle w:val="CALIBRI11"/>
              </w:rPr>
              <w:t>и матрицу на микро нивоу, или уколи</w:t>
            </w:r>
            <w:r w:rsidR="00FA7F92">
              <w:rPr>
                <w:rStyle w:val="CALIBRI11"/>
              </w:rPr>
              <w:t>ко постоје учинити је доступном</w:t>
            </w:r>
            <w:r>
              <w:rPr>
                <w:rStyle w:val="CALIBRI11"/>
              </w:rPr>
              <w:t>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Вршити упоредивост студијских програма и на нивоу земље. Потребно јасније истаћи струковне стандарде.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Дефинисати временски оквир ревидирања студијских програма.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  <w:rPr>
                <w:rStyle w:val="CALIBRI11"/>
                <w:lang w:val="sr-Cyrl-BA"/>
              </w:rPr>
            </w:pPr>
            <w:r>
              <w:rPr>
                <w:rStyle w:val="CALIBRI11"/>
              </w:rPr>
              <w:t xml:space="preserve">Потребно унапређивање и осавремењавање метода практичне наставе и укључивање студената у научно-истраживачке пројекте. </w:t>
            </w:r>
          </w:p>
          <w:p w:rsidR="00FA7F92" w:rsidRPr="00FA7F92" w:rsidRDefault="00FA7F92">
            <w:pPr>
              <w:spacing w:after="0"/>
              <w:jc w:val="both"/>
              <w:rPr>
                <w:lang w:val="sr-Cyrl-BA"/>
              </w:rPr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Предузети активности за реализацију мјера дефинисаних у Самоевалуационом извјештају, кроз планирање континуиране сарадње са пословним сектором и тржиштем рада у циљу подизања квалитета студирања.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 xml:space="preserve">Јачати односе </w:t>
            </w:r>
            <w:r w:rsidR="00570462">
              <w:rPr>
                <w:rStyle w:val="CALIBRI11"/>
              </w:rPr>
              <w:t>у земљи и окружењу</w:t>
            </w:r>
            <w:r>
              <w:rPr>
                <w:rStyle w:val="CALIBRI11"/>
              </w:rPr>
              <w:t>са другим универзитетима, организацијама, локалном заједницом, асоцијацијама и државним органима.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BOLD11"/>
              </w:rPr>
              <w:t>Б.3 Учење, подучавање и оцјењивање усмјерено ка студенту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Редовна евалуација наставног процеса и предузимање корективних мјера у случају недостатака.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Унаприједити систем оцјењивања, транспарентност полагања испита и ефикаснијег разматрања жалби студената.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BOLD11"/>
              </w:rPr>
              <w:t>Б.5 Наставно особље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Креирати дугорочни и оперативни план развоја људских ресурса и запошљавања новог кадра 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Подстицање објављивања научноистраживачких радова наставника и сарадника и годишња евалуација НИР-а наставника и сарадника. Обезб</w:t>
            </w:r>
            <w:r w:rsidR="00570462">
              <w:rPr>
                <w:rStyle w:val="CALIBRI11"/>
              </w:rPr>
              <w:t>ј</w:t>
            </w:r>
            <w:r>
              <w:rPr>
                <w:rStyle w:val="CALIBRI11"/>
              </w:rPr>
              <w:t>еђење материјалних</w:t>
            </w:r>
            <w:r w:rsidR="00570462">
              <w:rPr>
                <w:rStyle w:val="CALIBRI11"/>
              </w:rPr>
              <w:t xml:space="preserve"> услова за учешћ</w:t>
            </w:r>
            <w:r>
              <w:rPr>
                <w:rStyle w:val="CALIBRI11"/>
              </w:rPr>
              <w:t xml:space="preserve">е наставника и сарадника на научним скуповима, савјетовањима и симпозијумима. 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 xml:space="preserve">Израдити План развоја наставног и ненаставног особља, који </w:t>
            </w:r>
            <w:r w:rsidR="00014A87">
              <w:rPr>
                <w:rStyle w:val="CALIBRI11"/>
                <w:lang w:val="sr-Cyrl-BA"/>
              </w:rPr>
              <w:t>је планиран</w:t>
            </w:r>
            <w:r>
              <w:rPr>
                <w:rStyle w:val="CALIBRI11"/>
              </w:rPr>
              <w:t xml:space="preserve"> Стратегиј</w:t>
            </w:r>
            <w:r w:rsidR="00014A87">
              <w:rPr>
                <w:rStyle w:val="CALIBRI11"/>
                <w:lang w:val="sr-Cyrl-BA"/>
              </w:rPr>
              <w:t>ом</w:t>
            </w:r>
            <w:r>
              <w:rPr>
                <w:rStyle w:val="CALIBRI11"/>
              </w:rPr>
              <w:t xml:space="preserve"> високошколске установе.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BOLD11"/>
              </w:rPr>
              <w:t xml:space="preserve">Б.8 Информисање јавности   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 xml:space="preserve">Обезбиједити основне информације о студијском програму на wеб страници на енглеском језику. </w:t>
            </w:r>
          </w:p>
          <w:p w:rsidR="00014A87" w:rsidRDefault="00014A87">
            <w:pPr>
              <w:spacing w:after="0"/>
              <w:jc w:val="both"/>
              <w:rPr>
                <w:rStyle w:val="CALIBRI11"/>
                <w:lang w:val="sr-Cyrl-BA"/>
              </w:rPr>
            </w:pPr>
          </w:p>
          <w:p w:rsidR="003040CA" w:rsidRDefault="00837D92">
            <w:pPr>
              <w:spacing w:after="0"/>
              <w:jc w:val="both"/>
              <w:rPr>
                <w:rStyle w:val="CALIBRI11"/>
                <w:lang w:val="sr-Cyrl-BA"/>
              </w:rPr>
            </w:pPr>
            <w:r>
              <w:rPr>
                <w:rStyle w:val="CALIBRI11"/>
              </w:rPr>
              <w:t>Објавити основне информације о предметима на датом студијском програму, и на енглеском језику.</w:t>
            </w:r>
          </w:p>
          <w:p w:rsidR="003040CA" w:rsidRDefault="00837D92">
            <w:pPr>
              <w:spacing w:after="0"/>
              <w:jc w:val="both"/>
            </w:pPr>
            <w:r>
              <w:rPr>
                <w:rStyle w:val="CALIBRIBOLD11"/>
              </w:rPr>
              <w:lastRenderedPageBreak/>
              <w:t xml:space="preserve">Б.9 Континуирано праћење и периодична ревизија студијских програма 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Водити записнике о извршеним ревизијама студијских програма или уколико постоје, омогућити њихову доступност.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11"/>
              </w:rPr>
              <w:t>Вршити периодичну анализу студијских програма, прикупљених података од заинтересованих страна, доносити мјере за унапређење истих.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>
            <w:pPr>
              <w:spacing w:after="0"/>
              <w:jc w:val="both"/>
            </w:pPr>
            <w:r>
              <w:rPr>
                <w:rStyle w:val="CALIBRIBOLD11"/>
              </w:rPr>
              <w:t>Б.10</w:t>
            </w:r>
            <w:r>
              <w:rPr>
                <w:rStyle w:val="CALIBRIBOLD11"/>
              </w:rPr>
              <w:tab/>
              <w:t xml:space="preserve"> Периодично вањско осигурање квалитета  </w:t>
            </w:r>
          </w:p>
          <w:p w:rsidR="003040CA" w:rsidRDefault="003040CA">
            <w:pPr>
              <w:spacing w:after="0"/>
              <w:jc w:val="both"/>
            </w:pPr>
          </w:p>
          <w:p w:rsidR="003040CA" w:rsidRDefault="00837D92" w:rsidP="00014A87">
            <w:pPr>
              <w:spacing w:after="0"/>
              <w:jc w:val="both"/>
            </w:pPr>
            <w:r>
              <w:rPr>
                <w:rStyle w:val="CALIBRI11"/>
              </w:rPr>
              <w:t xml:space="preserve">Пратити и анализирати реализацију Мјера унапређења према закључцима </w:t>
            </w:r>
            <w:r w:rsidR="00014A87">
              <w:rPr>
                <w:rStyle w:val="CALIBRI11"/>
                <w:lang w:val="sr-Cyrl-BA"/>
              </w:rPr>
              <w:t xml:space="preserve">извршених евалуација </w:t>
            </w:r>
            <w:r>
              <w:rPr>
                <w:rStyle w:val="CALIBRI11"/>
              </w:rPr>
              <w:t>и задани</w:t>
            </w:r>
            <w:r w:rsidR="00014A87">
              <w:rPr>
                <w:rStyle w:val="CALIBRI11"/>
                <w:lang w:val="sr-Cyrl-BA"/>
              </w:rPr>
              <w:t>х</w:t>
            </w:r>
            <w:r>
              <w:rPr>
                <w:rStyle w:val="CALIBRI11"/>
              </w:rPr>
              <w:t xml:space="preserve"> рокова реализације.</w:t>
            </w:r>
          </w:p>
        </w:tc>
      </w:tr>
    </w:tbl>
    <w:p w:rsidR="003040CA" w:rsidRDefault="003040CA"/>
    <w:p w:rsidR="00570462" w:rsidRPr="00570462" w:rsidRDefault="00570462"/>
    <w:p w:rsidR="003040CA" w:rsidRDefault="003040CA">
      <w:pPr>
        <w:spacing w:after="0"/>
      </w:pPr>
    </w:p>
    <w:p w:rsidR="003040CA" w:rsidRDefault="00837D92">
      <w:pPr>
        <w:spacing w:after="0"/>
      </w:pPr>
      <w:r>
        <w:rPr>
          <w:rStyle w:val="CALIBRI12"/>
        </w:rPr>
        <w:t xml:space="preserve">МЈЕСТО И ДАТУМ </w:t>
      </w:r>
      <w:r w:rsidRPr="00570462">
        <w:rPr>
          <w:rStyle w:val="CALIBRI12"/>
          <w:u w:val="single"/>
        </w:rPr>
        <w:t>____</w:t>
      </w:r>
      <w:bookmarkStart w:id="0" w:name="_GoBack"/>
      <w:bookmarkEnd w:id="0"/>
      <w:r w:rsidR="00570462" w:rsidRPr="00570462">
        <w:rPr>
          <w:rStyle w:val="CALIBRI12"/>
          <w:u w:val="single"/>
        </w:rPr>
        <w:t>__</w:t>
      </w:r>
      <w:r w:rsidRPr="00570462">
        <w:rPr>
          <w:rStyle w:val="CALIBRI12"/>
          <w:u w:val="single"/>
        </w:rPr>
        <w:t>____</w:t>
      </w:r>
    </w:p>
    <w:p w:rsidR="003040CA" w:rsidRDefault="003040CA"/>
    <w:p w:rsidR="003040CA" w:rsidRDefault="00837D92">
      <w:pPr>
        <w:spacing w:after="0"/>
      </w:pPr>
      <w:r>
        <w:rPr>
          <w:rStyle w:val="CALIBRI12"/>
        </w:rPr>
        <w:t>ПОТПИС РЕЦЕНЗЕНТА ____________________________</w:t>
      </w:r>
    </w:p>
    <w:p w:rsidR="003040CA" w:rsidRDefault="003040CA"/>
    <w:sectPr w:rsidR="003040CA" w:rsidSect="003040CA">
      <w:headerReference w:type="default" r:id="rId8"/>
      <w:footerReference w:type="default" r:id="rId9"/>
      <w:pgSz w:w="11906" w:h="16838"/>
      <w:pgMar w:top="1000" w:right="800" w:bottom="100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BE0" w:rsidRDefault="00EB3BE0" w:rsidP="003040CA">
      <w:pPr>
        <w:spacing w:after="0" w:line="240" w:lineRule="auto"/>
      </w:pPr>
      <w:r>
        <w:separator/>
      </w:r>
    </w:p>
  </w:endnote>
  <w:endnote w:type="continuationSeparator" w:id="0">
    <w:p w:rsidR="00EB3BE0" w:rsidRDefault="00EB3BE0" w:rsidP="00304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0CA" w:rsidRDefault="00837D92">
    <w:pPr>
      <w:jc w:val="right"/>
    </w:pPr>
    <w:r>
      <w:t xml:space="preserve">СТРАНА </w:t>
    </w:r>
    <w:r w:rsidR="00AA40BE">
      <w:fldChar w:fldCharType="begin"/>
    </w:r>
    <w:r>
      <w:instrText>PAGE</w:instrText>
    </w:r>
    <w:r w:rsidR="00AA40BE">
      <w:fldChar w:fldCharType="separate"/>
    </w:r>
    <w:r w:rsidR="00C8717E">
      <w:rPr>
        <w:noProof/>
      </w:rPr>
      <w:t>8</w:t>
    </w:r>
    <w:r w:rsidR="00AA40BE">
      <w:fldChar w:fldCharType="end"/>
    </w:r>
    <w:r>
      <w:t xml:space="preserve"> ОД </w:t>
    </w:r>
    <w:r w:rsidR="00AA40BE">
      <w:fldChar w:fldCharType="begin"/>
    </w:r>
    <w:r>
      <w:instrText>NUMPAGES</w:instrText>
    </w:r>
    <w:r w:rsidR="00AA40BE">
      <w:fldChar w:fldCharType="separate"/>
    </w:r>
    <w:r w:rsidR="00C8717E">
      <w:rPr>
        <w:noProof/>
      </w:rPr>
      <w:t>8</w:t>
    </w:r>
    <w:r w:rsidR="00AA40BE">
      <w:fldChar w:fldCharType="end"/>
    </w:r>
  </w:p>
  <w:p w:rsidR="003040CA" w:rsidRDefault="00837D92">
    <w:pPr>
      <w:spacing w:after="0"/>
    </w:pPr>
    <w:r>
      <w:t>ОБ АВОРС 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BE0" w:rsidRDefault="00EB3BE0" w:rsidP="003040CA">
      <w:pPr>
        <w:spacing w:after="0" w:line="240" w:lineRule="auto"/>
      </w:pPr>
      <w:r>
        <w:separator/>
      </w:r>
    </w:p>
  </w:footnote>
  <w:footnote w:type="continuationSeparator" w:id="0">
    <w:p w:rsidR="00EB3BE0" w:rsidRDefault="00EB3BE0" w:rsidP="00304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0CA" w:rsidRDefault="00837D92">
    <w:r>
      <w:rPr>
        <w:noProof/>
        <w:lang w:val="en-US" w:eastAsia="en-US"/>
      </w:rPr>
      <w:drawing>
        <wp:inline distT="0" distB="0" distL="0" distR="0">
          <wp:extent cx="1152525" cy="857250"/>
          <wp:effectExtent l="1905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40CA"/>
    <w:rsid w:val="00014A87"/>
    <w:rsid w:val="000F3E09"/>
    <w:rsid w:val="003040CA"/>
    <w:rsid w:val="00362EB9"/>
    <w:rsid w:val="0054657C"/>
    <w:rsid w:val="00570462"/>
    <w:rsid w:val="005E22FC"/>
    <w:rsid w:val="00607332"/>
    <w:rsid w:val="00792727"/>
    <w:rsid w:val="00837D92"/>
    <w:rsid w:val="008C56ED"/>
    <w:rsid w:val="00AA40BE"/>
    <w:rsid w:val="00C8717E"/>
    <w:rsid w:val="00D72CE8"/>
    <w:rsid w:val="00EB3BE0"/>
    <w:rsid w:val="00FA7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2CCE1B"/>
  <w15:docId w15:val="{355352E4-1E48-4338-BABF-ED968F41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56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bH">
    <w:name w:val="tbH"/>
    <w:uiPriority w:val="99"/>
    <w:rsid w:val="003040CA"/>
    <w:tblPr>
      <w:tblBorders>
        <w:top w:val="single" w:sz="1" w:space="0" w:color="auto"/>
        <w:bottom w:val="single" w:sz="1" w:space="0" w:color="auto"/>
      </w:tblBorders>
      <w:tblCellMar>
        <w:top w:w="0" w:type="dxa"/>
        <w:left w:w="25" w:type="dxa"/>
        <w:bottom w:w="0" w:type="dxa"/>
        <w:right w:w="0" w:type="dxa"/>
      </w:tblCellMar>
    </w:tblPr>
  </w:style>
  <w:style w:type="character" w:customStyle="1" w:styleId="header2">
    <w:name w:val="header_2"/>
    <w:rsid w:val="003040CA"/>
    <w:rPr>
      <w:sz w:val="4"/>
      <w:szCs w:val="4"/>
    </w:rPr>
  </w:style>
  <w:style w:type="character" w:customStyle="1" w:styleId="header4">
    <w:name w:val="header_4"/>
    <w:rsid w:val="003040CA"/>
    <w:rPr>
      <w:sz w:val="8"/>
      <w:szCs w:val="8"/>
    </w:rPr>
  </w:style>
  <w:style w:type="character" w:customStyle="1" w:styleId="header10">
    <w:name w:val="header_10"/>
    <w:rsid w:val="003040CA"/>
    <w:rPr>
      <w:sz w:val="16"/>
      <w:szCs w:val="16"/>
    </w:rPr>
  </w:style>
  <w:style w:type="character" w:customStyle="1" w:styleId="header12">
    <w:name w:val="header_12"/>
    <w:rsid w:val="003040CA"/>
    <w:rPr>
      <w:sz w:val="24"/>
      <w:szCs w:val="24"/>
    </w:rPr>
  </w:style>
  <w:style w:type="character" w:customStyle="1" w:styleId="header15">
    <w:name w:val="header_15"/>
    <w:rsid w:val="003040CA"/>
    <w:rPr>
      <w:sz w:val="30"/>
      <w:szCs w:val="30"/>
    </w:rPr>
  </w:style>
  <w:style w:type="character" w:customStyle="1" w:styleId="headerB8">
    <w:name w:val="headerB_8"/>
    <w:rsid w:val="003040CA"/>
    <w:rPr>
      <w:b/>
      <w:sz w:val="16"/>
      <w:szCs w:val="16"/>
    </w:rPr>
  </w:style>
  <w:style w:type="character" w:customStyle="1" w:styleId="header8gr">
    <w:name w:val="header_8_gr"/>
    <w:rsid w:val="003040CA"/>
    <w:rPr>
      <w:color w:val="999999"/>
      <w:sz w:val="16"/>
      <w:szCs w:val="16"/>
    </w:rPr>
  </w:style>
  <w:style w:type="character" w:customStyle="1" w:styleId="headerB8gr">
    <w:name w:val="headerB_8_gr"/>
    <w:rsid w:val="003040CA"/>
    <w:rPr>
      <w:b/>
      <w:color w:val="999999"/>
      <w:sz w:val="16"/>
      <w:szCs w:val="16"/>
    </w:rPr>
  </w:style>
  <w:style w:type="character" w:customStyle="1" w:styleId="headerB10">
    <w:name w:val="headerB_10"/>
    <w:rsid w:val="003040CA"/>
    <w:rPr>
      <w:b/>
    </w:rPr>
  </w:style>
  <w:style w:type="character" w:customStyle="1" w:styleId="headerB11">
    <w:name w:val="headerB_11"/>
    <w:rsid w:val="003040CA"/>
    <w:rPr>
      <w:b/>
      <w:sz w:val="22"/>
      <w:szCs w:val="22"/>
    </w:rPr>
  </w:style>
  <w:style w:type="character" w:customStyle="1" w:styleId="headerB12">
    <w:name w:val="headerB_12"/>
    <w:rsid w:val="003040CA"/>
    <w:rPr>
      <w:b/>
      <w:sz w:val="24"/>
      <w:szCs w:val="24"/>
    </w:rPr>
  </w:style>
  <w:style w:type="character" w:customStyle="1" w:styleId="headerAB25">
    <w:name w:val="headerAB_25"/>
    <w:rsid w:val="003040CA"/>
    <w:rPr>
      <w:rFonts w:ascii="Arial Black" w:hAnsi="Arial Black" w:cs="Arial Black"/>
      <w:b/>
      <w:sz w:val="50"/>
      <w:szCs w:val="50"/>
    </w:rPr>
  </w:style>
  <w:style w:type="character" w:customStyle="1" w:styleId="headerAB20">
    <w:name w:val="headerAB_20"/>
    <w:rsid w:val="003040CA"/>
    <w:rPr>
      <w:rFonts w:ascii="Arial Black" w:hAnsi="Arial Black" w:cs="Arial Black"/>
      <w:b/>
      <w:sz w:val="40"/>
      <w:szCs w:val="40"/>
    </w:rPr>
  </w:style>
  <w:style w:type="character" w:customStyle="1" w:styleId="headerBI12">
    <w:name w:val="headerBI_12"/>
    <w:rsid w:val="003040CA"/>
    <w:rPr>
      <w:b/>
      <w:i/>
      <w:iCs/>
      <w:sz w:val="24"/>
      <w:szCs w:val="24"/>
    </w:rPr>
  </w:style>
  <w:style w:type="character" w:customStyle="1" w:styleId="headerBI10">
    <w:name w:val="headerBI_10"/>
    <w:rsid w:val="003040CA"/>
    <w:rPr>
      <w:b/>
      <w:i/>
      <w:iCs/>
    </w:rPr>
  </w:style>
  <w:style w:type="paragraph" w:customStyle="1" w:styleId="pHeader12">
    <w:name w:val="pHeader_12"/>
    <w:rsid w:val="003040CA"/>
    <w:pPr>
      <w:spacing w:after="0"/>
    </w:pPr>
  </w:style>
  <w:style w:type="paragraph" w:customStyle="1" w:styleId="pHeader10">
    <w:name w:val="pHeader_10"/>
    <w:rsid w:val="003040CA"/>
    <w:pPr>
      <w:spacing w:after="0"/>
    </w:pPr>
  </w:style>
  <w:style w:type="paragraph" w:customStyle="1" w:styleId="listitem">
    <w:name w:val="list_item"/>
    <w:rsid w:val="003040CA"/>
    <w:pPr>
      <w:spacing w:after="0"/>
    </w:pPr>
  </w:style>
  <w:style w:type="character" w:customStyle="1" w:styleId="CALIBRIBOLD26">
    <w:name w:val="CALIBRI_BOLD_26"/>
    <w:rsid w:val="003040CA"/>
    <w:rPr>
      <w:rFonts w:ascii="Calibri" w:hAnsi="Calibri" w:cs="Calibri"/>
      <w:b/>
      <w:sz w:val="52"/>
      <w:szCs w:val="52"/>
    </w:rPr>
  </w:style>
  <w:style w:type="character" w:customStyle="1" w:styleId="CALIBRIBOLD16WHITE">
    <w:name w:val="CALIBRI_BOLD_16_WHITE"/>
    <w:rsid w:val="003040CA"/>
    <w:rPr>
      <w:rFonts w:ascii="Calibri" w:hAnsi="Calibri" w:cs="Calibri"/>
      <w:b/>
      <w:color w:val="FFFFFF"/>
      <w:sz w:val="32"/>
      <w:szCs w:val="32"/>
    </w:rPr>
  </w:style>
  <w:style w:type="character" w:customStyle="1" w:styleId="CALIBRIBOLD16">
    <w:name w:val="CALIBRI_BOLD_16"/>
    <w:rsid w:val="003040CA"/>
    <w:rPr>
      <w:rFonts w:ascii="Calibri" w:hAnsi="Calibri" w:cs="Calibri"/>
      <w:b/>
      <w:sz w:val="32"/>
      <w:szCs w:val="32"/>
    </w:rPr>
  </w:style>
  <w:style w:type="character" w:customStyle="1" w:styleId="CALIBRI12">
    <w:name w:val="CALIBRI_12"/>
    <w:rsid w:val="003040CA"/>
    <w:rPr>
      <w:rFonts w:ascii="Calibri" w:hAnsi="Calibri" w:cs="Calibri"/>
      <w:sz w:val="24"/>
      <w:szCs w:val="24"/>
    </w:rPr>
  </w:style>
  <w:style w:type="character" w:customStyle="1" w:styleId="CALIBRIBOLD12">
    <w:name w:val="CALIBRI_BOLD_12"/>
    <w:rsid w:val="003040CA"/>
    <w:rPr>
      <w:rFonts w:ascii="Calibri" w:hAnsi="Calibri" w:cs="Calibri"/>
      <w:b/>
      <w:sz w:val="24"/>
      <w:szCs w:val="24"/>
    </w:rPr>
  </w:style>
  <w:style w:type="character" w:customStyle="1" w:styleId="CALIBRIBOLD12WHITE">
    <w:name w:val="CALIBRI_BOLD_12_WHITE"/>
    <w:rsid w:val="003040CA"/>
    <w:rPr>
      <w:rFonts w:ascii="Calibri" w:hAnsi="Calibri" w:cs="Calibri"/>
      <w:b/>
      <w:color w:val="FFFFFF"/>
      <w:sz w:val="24"/>
      <w:szCs w:val="24"/>
    </w:rPr>
  </w:style>
  <w:style w:type="character" w:customStyle="1" w:styleId="CALIBRI11">
    <w:name w:val="CALIBRI_11"/>
    <w:rsid w:val="003040CA"/>
    <w:rPr>
      <w:rFonts w:ascii="Calibri" w:hAnsi="Calibri" w:cs="Calibri"/>
      <w:sz w:val="22"/>
      <w:szCs w:val="22"/>
    </w:rPr>
  </w:style>
  <w:style w:type="character" w:customStyle="1" w:styleId="CALIBRIBOLD11">
    <w:name w:val="CALIBRI_BOLD_11"/>
    <w:rsid w:val="003040CA"/>
    <w:rPr>
      <w:rFonts w:ascii="Calibri" w:hAnsi="Calibri" w:cs="Calibri"/>
      <w:b/>
      <w:sz w:val="22"/>
      <w:szCs w:val="22"/>
    </w:rPr>
  </w:style>
  <w:style w:type="character" w:customStyle="1" w:styleId="CALIBRIITALIC11">
    <w:name w:val="CALIBRI_ITALIC_11"/>
    <w:rsid w:val="003040CA"/>
    <w:rPr>
      <w:rFonts w:ascii="Calibri" w:hAnsi="Calibri" w:cs="Calibri"/>
      <w:i/>
      <w:iCs/>
      <w:sz w:val="22"/>
      <w:szCs w:val="22"/>
    </w:rPr>
  </w:style>
  <w:style w:type="character" w:customStyle="1" w:styleId="CALIBRIBOLDITALIC11">
    <w:name w:val="CALIBRI_BOLD_ITALIC_11"/>
    <w:rsid w:val="003040CA"/>
    <w:rPr>
      <w:rFonts w:ascii="Calibri" w:hAnsi="Calibri" w:cs="Calibri"/>
      <w:b/>
      <w:i/>
      <w:iCs/>
      <w:sz w:val="22"/>
      <w:szCs w:val="22"/>
    </w:rPr>
  </w:style>
  <w:style w:type="character" w:customStyle="1" w:styleId="CALIBRIUNDERLINEITALIC11">
    <w:name w:val="CALIBRI_UNDERLINE_ITALIC_11"/>
    <w:rsid w:val="003040CA"/>
    <w:rPr>
      <w:rFonts w:ascii="Calibri" w:hAnsi="Calibri" w:cs="Calibri"/>
      <w:i/>
      <w:iCs/>
      <w:sz w:val="22"/>
      <w:szCs w:val="22"/>
      <w:u w:val="single"/>
    </w:rPr>
  </w:style>
  <w:style w:type="table" w:customStyle="1" w:styleId="tblP">
    <w:name w:val="tblP"/>
    <w:uiPriority w:val="99"/>
    <w:rsid w:val="003040CA"/>
    <w:tblPr>
      <w:tblCellMar>
        <w:top w:w="50" w:type="dxa"/>
        <w:left w:w="50" w:type="dxa"/>
        <w:bottom w:w="50" w:type="dxa"/>
        <w:right w:w="50" w:type="dxa"/>
      </w:tblCellMar>
    </w:tblPr>
  </w:style>
  <w:style w:type="table" w:customStyle="1" w:styleId="tblP1">
    <w:name w:val="tblP1"/>
    <w:uiPriority w:val="99"/>
    <w:rsid w:val="003040CA"/>
    <w:tblPr>
      <w:tblCellMar>
        <w:top w:w="50" w:type="dxa"/>
        <w:left w:w="50" w:type="dxa"/>
        <w:bottom w:w="50" w:type="dxa"/>
        <w:right w:w="5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3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E0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2E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pu.ba/univerzitet/sporazumi-i-partnerstv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2399</Words>
  <Characters>13675</Characters>
  <Application>Microsoft Office Word</Application>
  <DocSecurity>0</DocSecurity>
  <Lines>113</Lines>
  <Paragraphs>32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Microsoft</Company>
  <LinksUpToDate>false</LinksUpToDate>
  <CharactersWithSpaces>16042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Agencija05</cp:lastModifiedBy>
  <cp:revision>3</cp:revision>
  <cp:lastPrinted>2022-01-08T23:24:00Z</cp:lastPrinted>
  <dcterms:created xsi:type="dcterms:W3CDTF">2022-01-11T07:43:00Z</dcterms:created>
  <dcterms:modified xsi:type="dcterms:W3CDTF">2022-02-24T12:43:00Z</dcterms:modified>
</cp:coreProperties>
</file>