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2A1" w:rsidRDefault="006678CF">
      <w:pPr>
        <w:spacing w:after="0"/>
        <w:jc w:val="center"/>
      </w:pPr>
      <w:r>
        <w:rPr>
          <w:rStyle w:val="CALIBRIBOLD16"/>
        </w:rPr>
        <w:t>IZVJEŠTAJ RECENZENTA ZA STUDIJSKI PROGRAM</w:t>
      </w:r>
    </w:p>
    <w:p w:rsidR="007452A1" w:rsidRDefault="007452A1"/>
    <w:tbl>
      <w:tblPr>
        <w:tblStyle w:val="tblP"/>
        <w:tblW w:w="0" w:type="auto"/>
        <w:tblInd w:w="0" w:type="dxa"/>
        <w:tblLook w:val="04A0" w:firstRow="1" w:lastRow="0" w:firstColumn="1" w:lastColumn="0" w:noHBand="0" w:noVBand="1"/>
      </w:tblPr>
      <w:tblGrid>
        <w:gridCol w:w="3719"/>
        <w:gridCol w:w="938"/>
        <w:gridCol w:w="925"/>
        <w:gridCol w:w="4624"/>
      </w:tblGrid>
      <w:tr w:rsidR="007452A1" w:rsidTr="00B64EA1">
        <w:trPr>
          <w:trHeight w:val="300"/>
        </w:trPr>
        <w:tc>
          <w:tcPr>
            <w:tcW w:w="10206"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7452A1" w:rsidRDefault="006678CF">
            <w:pPr>
              <w:spacing w:after="0"/>
            </w:pPr>
            <w:r>
              <w:rPr>
                <w:rStyle w:val="CALIBRIBOLD12WHITE"/>
              </w:rPr>
              <w:t>Pregled</w:t>
            </w:r>
          </w:p>
        </w:tc>
      </w:tr>
      <w:tr w:rsidR="007452A1" w:rsidTr="00B64EA1">
        <w:trPr>
          <w:trHeight w:val="300"/>
        </w:trPr>
        <w:tc>
          <w:tcPr>
            <w:tcW w:w="10206"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7452A1" w:rsidRDefault="006678CF">
            <w:pPr>
              <w:spacing w:after="0"/>
            </w:pPr>
            <w:r>
              <w:rPr>
                <w:rStyle w:val="CALIBRIBOLD12WHITE"/>
              </w:rPr>
              <w:t>Podaci o visokoškolskoj ustanovi</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Naziv, adresa i e-mail adresa institucije</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Slobomir P Univerzitet Pavlovića put 76, Bijeljina Info@spu.ba</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Internet adresa</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http://spu.ba/</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Naziv, broj i datum akta o osnivanju</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Odluka o osnivanju Slobomir P Univerziteta, Slobomir Bijeljina; Akt o osnivanju, odluka br. 6-01-1272/03 od dana 08.04.2003. godine</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Poresko-identifikacioni broj (PIB)</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4401904060002</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Matični broj dodijeljen od Republičkog zavoda za statistiku</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1970372</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Ime, prezime i adresa (naziv i sjedište) osnivača</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Mira i Slobodan Pavlović</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Broj i datum odluke o imenovanju lica ovlašćenog za zastupanje</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Broj i datum dozvole za rad visokoškolske ustanove</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Odluka o ispunjavanju uslova za početak rada Slobomir P Univerziteta Bijeljina) br. 6-01-6567/04 od dana od 27.12.2004. godine; br. 07.2-9622/07 od dana od 28.12.2007. godine</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Broj i datum dozvole za rad van sjedišta</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Odluka br. 07.2-9622-1/07 od dana od 28.12.2007. godine</w:t>
            </w: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Organizacione jedinice koje se posjećuju i odgovorna lica</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7452A1">
            <w:pPr>
              <w:spacing w:after="0"/>
            </w:pP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Kontakt osoba:</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7452A1">
            <w:pPr>
              <w:spacing w:after="0"/>
            </w:pPr>
          </w:p>
        </w:tc>
      </w:tr>
      <w:tr w:rsidR="007452A1" w:rsidTr="00B64EA1">
        <w:trPr>
          <w:trHeight w:val="300"/>
        </w:trPr>
        <w:tc>
          <w:tcPr>
            <w:tcW w:w="4657"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Broj telefona:</w:t>
            </w:r>
          </w:p>
        </w:tc>
        <w:tc>
          <w:tcPr>
            <w:tcW w:w="5549"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+38755231101, +38753209621</w:t>
            </w:r>
          </w:p>
        </w:tc>
      </w:tr>
      <w:tr w:rsidR="007452A1" w:rsidTr="00B64EA1">
        <w:trPr>
          <w:trHeight w:val="300"/>
        </w:trPr>
        <w:tc>
          <w:tcPr>
            <w:tcW w:w="10206"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7452A1" w:rsidRDefault="006678CF">
            <w:pPr>
              <w:spacing w:after="0"/>
            </w:pPr>
            <w:r>
              <w:rPr>
                <w:rStyle w:val="CALIBRIBOLD12"/>
              </w:rPr>
              <w:t>Programi prijavljeni za evaluaciju</w:t>
            </w:r>
          </w:p>
        </w:tc>
      </w:tr>
      <w:tr w:rsidR="007452A1" w:rsidTr="00B64EA1">
        <w:trPr>
          <w:trHeight w:val="300"/>
        </w:trPr>
        <w:tc>
          <w:tcPr>
            <w:tcW w:w="3719" w:type="dxa"/>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Naziv studijskog programa</w:t>
            </w:r>
          </w:p>
        </w:tc>
        <w:tc>
          <w:tcPr>
            <w:tcW w:w="1863"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Nivo studija</w:t>
            </w:r>
          </w:p>
        </w:tc>
        <w:tc>
          <w:tcPr>
            <w:tcW w:w="4624" w:type="dxa"/>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BOLD11"/>
              </w:rPr>
              <w:t>Naziv(i) izlaznih kvalifikacija</w:t>
            </w:r>
          </w:p>
        </w:tc>
      </w:tr>
      <w:tr w:rsidR="007452A1" w:rsidTr="00B64EA1">
        <w:trPr>
          <w:trHeight w:val="300"/>
        </w:trPr>
        <w:tc>
          <w:tcPr>
            <w:tcW w:w="3719" w:type="dxa"/>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STUDIJSKI PROGRAM MAS-MUZIKA</w:t>
            </w:r>
          </w:p>
        </w:tc>
        <w:tc>
          <w:tcPr>
            <w:tcW w:w="1863" w:type="dxa"/>
            <w:gridSpan w:val="2"/>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 xml:space="preserve">drugi </w:t>
            </w:r>
          </w:p>
        </w:tc>
        <w:tc>
          <w:tcPr>
            <w:tcW w:w="4624" w:type="dxa"/>
            <w:tcBorders>
              <w:top w:val="single" w:sz="1" w:space="0" w:color="000000"/>
              <w:left w:val="single" w:sz="1" w:space="0" w:color="000000"/>
              <w:bottom w:val="single" w:sz="1" w:space="0" w:color="000000"/>
              <w:right w:val="single" w:sz="1" w:space="0" w:color="000000"/>
            </w:tcBorders>
          </w:tcPr>
          <w:p w:rsidR="007452A1" w:rsidRDefault="006678CF">
            <w:pPr>
              <w:spacing w:after="0"/>
            </w:pPr>
            <w:r>
              <w:rPr>
                <w:rStyle w:val="CALIBRI11"/>
              </w:rPr>
              <w:t>Master harmonike-300 ECTS, Master kompozicije-300 ECTS, Master solo pjevanja-300 ECTS, Master klavira-300 ECTS, Master violine-300 ECTS, Master viole- ECTS, Master flaute-300 ECTS, Master gitare-300 ECTS, Master klarineta-300 ECTS, Master trube-300 ECTS, Master dirigovanja-300 ECTS, Master muzičke teorije-300 ECTS, Master muzičke pedagogije-300 ECTS-</w:t>
            </w:r>
          </w:p>
        </w:tc>
      </w:tr>
      <w:tr w:rsidR="007452A1" w:rsidTr="00B64EA1">
        <w:trPr>
          <w:trHeight w:val="400"/>
        </w:trPr>
        <w:tc>
          <w:tcPr>
            <w:tcW w:w="10206"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7452A1" w:rsidRDefault="006678CF">
            <w:pPr>
              <w:spacing w:after="0"/>
            </w:pPr>
            <w:r>
              <w:lastRenderedPageBreak/>
              <w:br w:type="page"/>
            </w:r>
            <w:r>
              <w:rPr>
                <w:rStyle w:val="CALIBRIBOLD11"/>
              </w:rPr>
              <w:t>DOBRE STRANE</w:t>
            </w:r>
          </w:p>
        </w:tc>
      </w:tr>
      <w:tr w:rsidR="007452A1" w:rsidTr="00B64EA1">
        <w:trPr>
          <w:trHeight w:val="400"/>
        </w:trPr>
        <w:tc>
          <w:tcPr>
            <w:tcW w:w="10206" w:type="dxa"/>
            <w:gridSpan w:val="4"/>
            <w:tcBorders>
              <w:top w:val="single" w:sz="1" w:space="0" w:color="000000"/>
              <w:left w:val="single" w:sz="1" w:space="0" w:color="000000"/>
              <w:bottom w:val="single" w:sz="1" w:space="0" w:color="000000"/>
              <w:right w:val="single" w:sz="1" w:space="0" w:color="000000"/>
            </w:tcBorders>
          </w:tcPr>
          <w:p w:rsidR="007452A1" w:rsidRDefault="006678CF">
            <w:pPr>
              <w:spacing w:after="0"/>
              <w:jc w:val="both"/>
            </w:pPr>
            <w:r>
              <w:rPr>
                <w:rStyle w:val="CALIBRIBOLD11"/>
              </w:rPr>
              <w:t>B.2 Kreiranje i odobravanje studijskih programa</w:t>
            </w:r>
          </w:p>
          <w:p w:rsidR="007452A1" w:rsidRDefault="007452A1">
            <w:pPr>
              <w:spacing w:after="0"/>
              <w:jc w:val="both"/>
            </w:pPr>
          </w:p>
          <w:p w:rsidR="007452A1" w:rsidRDefault="006678CF">
            <w:pPr>
              <w:spacing w:after="0"/>
              <w:jc w:val="both"/>
            </w:pPr>
            <w:r>
              <w:rPr>
                <w:rStyle w:val="CALIBRI11"/>
              </w:rPr>
              <w:t xml:space="preserve">U cilju sprovođenja strategije i obezbeđenja kvaliteta Slobomir P Univerzitet kontinuirano i sistematski prati i  proverava različite aspekte rada. U nameri da ostvari adekvatan nivo kvaliteta studijskih programa Slobomir P Univerzitet u sistem rada ugradio je posebne procedure za odobravanje, praćenje, kontrolu i ocenu studijskih programa. Uređena je metodologija samovrednovanja „izlaznih“ rezultata studijskih programa, nastavnog procesa i opštih uslova rada na Univerzitetu. </w:t>
            </w:r>
          </w:p>
          <w:p w:rsidR="007452A1" w:rsidRDefault="007452A1">
            <w:pPr>
              <w:spacing w:after="0"/>
              <w:jc w:val="both"/>
            </w:pPr>
          </w:p>
          <w:p w:rsidR="007452A1" w:rsidRDefault="006678CF">
            <w:pPr>
              <w:spacing w:after="0"/>
              <w:jc w:val="both"/>
            </w:pPr>
            <w:r>
              <w:rPr>
                <w:rStyle w:val="CALIBRI11"/>
              </w:rPr>
              <w:t xml:space="preserve">Usklađenost studijskog programa je data kroz poređenje sa više studijskih programa. </w:t>
            </w:r>
          </w:p>
          <w:p w:rsidR="007452A1" w:rsidRDefault="006678CF">
            <w:pPr>
              <w:spacing w:after="0"/>
              <w:jc w:val="both"/>
            </w:pPr>
            <w:r>
              <w:rPr>
                <w:rStyle w:val="CALIBRI11"/>
              </w:rPr>
              <w:t xml:space="preserve">Dokumenta sa kojima se vrši usklađivanje, praćenje naučnih i praktičnih dostignuća, usklađivanje nastavnog plana i razvijanje studijskih programa su Strategija razvoja obrazovanja Republike Srpske, Evropski kvalifikacijski okvir za visoko obrazovanje, Državni (nacionalni) kvalifikacijski okvir, Osnove kvalifikacijskog okvira u Bosni i Hercegovini. </w:t>
            </w:r>
          </w:p>
          <w:p w:rsidR="007452A1" w:rsidRDefault="007452A1">
            <w:pPr>
              <w:spacing w:after="0"/>
              <w:jc w:val="both"/>
            </w:pPr>
          </w:p>
          <w:p w:rsidR="007452A1" w:rsidRDefault="006678CF">
            <w:pPr>
              <w:spacing w:after="0"/>
              <w:jc w:val="both"/>
            </w:pPr>
            <w:r>
              <w:rPr>
                <w:rStyle w:val="CALIBRI11"/>
              </w:rPr>
              <w:t xml:space="preserve">Senat Univerziteta usvaja izmene i unapređenje studijskog programa na predlog Dekana, a minimalne izmene kako se navodi se mogu usvajati svake godine. </w:t>
            </w:r>
          </w:p>
          <w:p w:rsidR="007452A1" w:rsidRDefault="006678CF">
            <w:pPr>
              <w:spacing w:after="0"/>
              <w:jc w:val="both"/>
            </w:pPr>
            <w:r>
              <w:rPr>
                <w:rStyle w:val="CALIBRI11"/>
              </w:rPr>
              <w:t xml:space="preserve">Navedene su opšte i predmetno specifične kompetencije koje studenti stiču savladavanjem studijskog programa. </w:t>
            </w:r>
          </w:p>
          <w:p w:rsidR="007452A1" w:rsidRDefault="007452A1">
            <w:pPr>
              <w:spacing w:after="0"/>
              <w:jc w:val="both"/>
            </w:pPr>
          </w:p>
          <w:p w:rsidR="007452A1" w:rsidRDefault="0017552F">
            <w:pPr>
              <w:spacing w:after="0"/>
              <w:jc w:val="both"/>
            </w:pPr>
            <w:r>
              <w:rPr>
                <w:rStyle w:val="CALIBRI11"/>
              </w:rPr>
              <w:t>Ustanova</w:t>
            </w:r>
            <w:r w:rsidR="00B64EA1">
              <w:rPr>
                <w:rStyle w:val="CALIBRI11"/>
              </w:rPr>
              <w:t xml:space="preserve"> navodi da su predviđeni n</w:t>
            </w:r>
            <w:r w:rsidR="006678CF">
              <w:rPr>
                <w:rStyle w:val="CALIBRI11"/>
              </w:rPr>
              <w:t xml:space="preserve">ačini po kojima se vrši računanje i dodjeljivanje ESP Bodova pojedinim predmetima </w:t>
            </w:r>
            <w:r w:rsidR="003E13AB">
              <w:rPr>
                <w:rStyle w:val="CALIBRI11"/>
              </w:rPr>
              <w:t xml:space="preserve">i da su oni usklađeni </w:t>
            </w:r>
            <w:r w:rsidR="006678CF">
              <w:rPr>
                <w:rStyle w:val="CALIBRI11"/>
              </w:rPr>
              <w:t>sa smernicama Vodiča za korisnike ESPB-a kao glavnog alata Evropskog prostora visokog obrazovanja (EHEA-e) i definisani dokumentom: Pravilnik za izradu i reviziju studijskih programa</w:t>
            </w:r>
          </w:p>
          <w:p w:rsidR="007452A1" w:rsidRDefault="007452A1">
            <w:pPr>
              <w:spacing w:after="0"/>
              <w:jc w:val="both"/>
            </w:pPr>
          </w:p>
          <w:p w:rsidR="007452A1" w:rsidRDefault="006678CF">
            <w:pPr>
              <w:spacing w:after="0"/>
              <w:jc w:val="both"/>
            </w:pPr>
            <w:r>
              <w:rPr>
                <w:rStyle w:val="CALIBRI11"/>
              </w:rPr>
              <w:t xml:space="preserve">U okviru dokumenata - </w:t>
            </w:r>
            <w:r w:rsidRPr="003E13AB">
              <w:rPr>
                <w:rStyle w:val="CALIBRI11"/>
                <w:i/>
              </w:rPr>
              <w:t>Pravilnik o studiranju na drugom ciklusu studija</w:t>
            </w:r>
            <w:r>
              <w:rPr>
                <w:rStyle w:val="CALIBRI11"/>
              </w:rPr>
              <w:t xml:space="preserve"> definisana je organizacija i postupak odbrane završnog rada studenta. </w:t>
            </w:r>
          </w:p>
          <w:p w:rsidR="007452A1" w:rsidRDefault="007452A1">
            <w:pPr>
              <w:spacing w:after="0"/>
              <w:jc w:val="both"/>
            </w:pPr>
          </w:p>
          <w:p w:rsidR="007452A1" w:rsidRDefault="006678CF">
            <w:pPr>
              <w:spacing w:after="0"/>
              <w:jc w:val="both"/>
            </w:pPr>
            <w:r>
              <w:rPr>
                <w:rStyle w:val="CALIBRIBOLD11"/>
              </w:rPr>
              <w:t>B.3 Učenje, podučavanje i ocjenjivanje usmjereno ka studentu</w:t>
            </w:r>
          </w:p>
          <w:p w:rsidR="007452A1" w:rsidRDefault="007452A1">
            <w:pPr>
              <w:spacing w:after="0"/>
              <w:jc w:val="both"/>
            </w:pPr>
          </w:p>
          <w:p w:rsidR="007452A1" w:rsidRDefault="006678CF">
            <w:pPr>
              <w:spacing w:after="0"/>
              <w:jc w:val="both"/>
            </w:pPr>
            <w:r>
              <w:rPr>
                <w:rStyle w:val="CALIBRI11"/>
              </w:rPr>
              <w:t xml:space="preserve">Studenti su uključeni u proces kreiranja procesa učenja na više načina. </w:t>
            </w:r>
          </w:p>
          <w:p w:rsidR="007452A1" w:rsidRDefault="006678CF">
            <w:pPr>
              <w:spacing w:after="0"/>
              <w:jc w:val="both"/>
            </w:pPr>
            <w:r>
              <w:rPr>
                <w:rStyle w:val="CALIBRI11"/>
              </w:rPr>
              <w:t>PRAVILNIK o nastavi i ispitima</w:t>
            </w:r>
          </w:p>
          <w:p w:rsidR="007452A1" w:rsidRDefault="006678CF">
            <w:pPr>
              <w:spacing w:after="0"/>
              <w:jc w:val="both"/>
            </w:pPr>
            <w:r>
              <w:rPr>
                <w:rStyle w:val="CALIBRI11"/>
              </w:rPr>
              <w:t>https://spu.ba/wp-content/uploads/2018/02/Pravilnik-o-nastavi-i-ispitima.pdf</w:t>
            </w:r>
          </w:p>
          <w:p w:rsidR="007452A1" w:rsidRDefault="007452A1">
            <w:pPr>
              <w:spacing w:after="0"/>
              <w:jc w:val="both"/>
            </w:pPr>
          </w:p>
          <w:p w:rsidR="007452A1" w:rsidRDefault="006678CF">
            <w:pPr>
              <w:spacing w:after="0"/>
              <w:jc w:val="both"/>
            </w:pPr>
            <w:r>
              <w:rPr>
                <w:rStyle w:val="CALIBRI11"/>
              </w:rPr>
              <w:t xml:space="preserve">Studenti učestvuju u procesu evaluacije nastavnog plana i programa i nastavnog procesa. Pravilnikom o studentskom vrednovanju kvaliteta studija i Pravilnikom o načinu i postupku za obezbeđenje kvaliteta na Slobomir P Univerzitetu  se definišu oblasti, cilj, načela, metode i organizacija studentskog vrednovanja kvaliteta studija na Univerzitetu i organizacionim jedinicama u sastavu Univerziteta, način čuvanja potrebne dokumentacije, uvid u rezultate vrednovanja i postupanje nakon sprovedenog vrednovanja. </w:t>
            </w:r>
          </w:p>
          <w:p w:rsidR="007452A1" w:rsidRDefault="006678CF" w:rsidP="003E13AB">
            <w:pPr>
              <w:spacing w:after="0"/>
              <w:jc w:val="both"/>
              <w:rPr>
                <w:rStyle w:val="CALIBRI11"/>
              </w:rPr>
            </w:pPr>
            <w:r>
              <w:rPr>
                <w:rStyle w:val="CALIBRI11"/>
              </w:rPr>
              <w:t>Statutom Univerziteta definisana je uloga studenata u upravljanju visokoškolskom ustanovom: predstavnik studenata je član organa upravljanja Univerzitetom, Upravnog odbora, a studenti su članovi i najvišeg akademskog tela Senata.</w:t>
            </w:r>
            <w:r w:rsidR="003E13AB">
              <w:rPr>
                <w:rStyle w:val="CALIBRI11"/>
              </w:rPr>
              <w:t xml:space="preserve"> Sve navedeno upućuje da studenti</w:t>
            </w:r>
            <w:r w:rsidR="003E13AB" w:rsidRPr="003E13AB">
              <w:rPr>
                <w:rStyle w:val="CALIBRI11"/>
              </w:rPr>
              <w:t xml:space="preserve"> </w:t>
            </w:r>
            <w:r w:rsidR="003E13AB">
              <w:rPr>
                <w:rStyle w:val="CALIBRI11"/>
              </w:rPr>
              <w:t>imaju</w:t>
            </w:r>
            <w:r w:rsidR="003E13AB" w:rsidRPr="003E13AB">
              <w:rPr>
                <w:rStyle w:val="CALIBRI11"/>
              </w:rPr>
              <w:t xml:space="preserve"> </w:t>
            </w:r>
            <w:r w:rsidR="003E13AB">
              <w:rPr>
                <w:rStyle w:val="CALIBRI11"/>
              </w:rPr>
              <w:t>mogućnost</w:t>
            </w:r>
            <w:r w:rsidR="003E13AB" w:rsidRPr="003E13AB">
              <w:rPr>
                <w:rStyle w:val="CALIBRI11"/>
              </w:rPr>
              <w:t xml:space="preserve"> </w:t>
            </w:r>
            <w:r w:rsidR="003E13AB">
              <w:rPr>
                <w:rStyle w:val="CALIBRI11"/>
              </w:rPr>
              <w:t>uklјučenja</w:t>
            </w:r>
            <w:r w:rsidR="003E13AB" w:rsidRPr="003E13AB">
              <w:rPr>
                <w:rStyle w:val="CALIBRI11"/>
              </w:rPr>
              <w:t xml:space="preserve"> </w:t>
            </w:r>
            <w:r w:rsidR="003E13AB">
              <w:rPr>
                <w:rStyle w:val="CALIBRI11"/>
              </w:rPr>
              <w:t>u</w:t>
            </w:r>
            <w:r w:rsidR="003E13AB" w:rsidRPr="003E13AB">
              <w:rPr>
                <w:rStyle w:val="CALIBRI11"/>
              </w:rPr>
              <w:t xml:space="preserve"> </w:t>
            </w:r>
            <w:r w:rsidR="003E13AB">
              <w:rPr>
                <w:rStyle w:val="CALIBRI11"/>
              </w:rPr>
              <w:t>kreiranje</w:t>
            </w:r>
            <w:r w:rsidR="003E13AB" w:rsidRPr="003E13AB">
              <w:rPr>
                <w:rStyle w:val="CALIBRI11"/>
              </w:rPr>
              <w:t xml:space="preserve"> </w:t>
            </w:r>
            <w:r w:rsidR="003E13AB">
              <w:rPr>
                <w:rStyle w:val="CALIBRI11"/>
              </w:rPr>
              <w:t>nastavnog</w:t>
            </w:r>
            <w:r w:rsidR="003E13AB" w:rsidRPr="003E13AB">
              <w:rPr>
                <w:rStyle w:val="CALIBRI11"/>
              </w:rPr>
              <w:t xml:space="preserve"> </w:t>
            </w:r>
            <w:r w:rsidR="003E13AB">
              <w:rPr>
                <w:rStyle w:val="CALIBRI11"/>
              </w:rPr>
              <w:t>procesa</w:t>
            </w:r>
            <w:r w:rsidR="003E13AB" w:rsidRPr="003E13AB">
              <w:rPr>
                <w:rStyle w:val="CALIBRI11"/>
              </w:rPr>
              <w:t xml:space="preserve"> </w:t>
            </w:r>
            <w:r w:rsidR="003E13AB">
              <w:rPr>
                <w:rStyle w:val="CALIBRI11"/>
              </w:rPr>
              <w:t>ali</w:t>
            </w:r>
            <w:r w:rsidR="003E13AB" w:rsidRPr="003E13AB">
              <w:rPr>
                <w:rStyle w:val="CALIBRI11"/>
              </w:rPr>
              <w:t xml:space="preserve"> </w:t>
            </w:r>
            <w:r w:rsidR="003E13AB">
              <w:rPr>
                <w:rStyle w:val="CALIBRI11"/>
              </w:rPr>
              <w:t>uglavnom</w:t>
            </w:r>
            <w:r w:rsidR="003E13AB" w:rsidRPr="003E13AB">
              <w:rPr>
                <w:rStyle w:val="CALIBRI11"/>
              </w:rPr>
              <w:t xml:space="preserve"> </w:t>
            </w:r>
            <w:r w:rsidR="003E13AB">
              <w:rPr>
                <w:rStyle w:val="CALIBRI11"/>
              </w:rPr>
              <w:t>samo</w:t>
            </w:r>
            <w:r w:rsidR="003E13AB" w:rsidRPr="003E13AB">
              <w:rPr>
                <w:rStyle w:val="CALIBRI11"/>
              </w:rPr>
              <w:t xml:space="preserve"> </w:t>
            </w:r>
            <w:r w:rsidR="003E13AB">
              <w:rPr>
                <w:rStyle w:val="CALIBRI11"/>
              </w:rPr>
              <w:t xml:space="preserve">putem </w:t>
            </w:r>
            <w:r w:rsidR="003E13AB" w:rsidRPr="003E13AB">
              <w:rPr>
                <w:rStyle w:val="CALIBRI11"/>
              </w:rPr>
              <w:t>svojih predstavnika.</w:t>
            </w:r>
          </w:p>
          <w:p w:rsidR="0017552F" w:rsidRPr="003E13AB" w:rsidRDefault="0017552F" w:rsidP="003E13AB">
            <w:pPr>
              <w:spacing w:after="0"/>
              <w:jc w:val="both"/>
            </w:pPr>
          </w:p>
          <w:p w:rsidR="007452A1" w:rsidRDefault="006678CF">
            <w:pPr>
              <w:spacing w:after="0"/>
              <w:jc w:val="both"/>
            </w:pPr>
            <w:r>
              <w:rPr>
                <w:rStyle w:val="CALIBRIBOLD11"/>
              </w:rPr>
              <w:lastRenderedPageBreak/>
              <w:t xml:space="preserve">B.4 Upis i napredovanje studenata, priznavanje i sertifikacija   </w:t>
            </w:r>
          </w:p>
          <w:p w:rsidR="007452A1" w:rsidRDefault="007452A1">
            <w:pPr>
              <w:spacing w:after="0"/>
              <w:jc w:val="both"/>
            </w:pPr>
          </w:p>
          <w:p w:rsidR="003E13AB" w:rsidRPr="003E13AB" w:rsidRDefault="003E13AB" w:rsidP="003E13AB">
            <w:pPr>
              <w:spacing w:after="0"/>
              <w:jc w:val="both"/>
              <w:rPr>
                <w:rStyle w:val="CALIBRI11"/>
              </w:rPr>
            </w:pPr>
            <w:r w:rsidRPr="003E13AB">
              <w:rPr>
                <w:rStyle w:val="CALIBRI11"/>
              </w:rPr>
              <w:t>Uvidom u dostavl</w:t>
            </w:r>
            <w:r>
              <w:rPr>
                <w:rStyle w:val="CALIBRI11"/>
                <w:lang w:val="ru-RU"/>
              </w:rPr>
              <w:t>ј</w:t>
            </w:r>
            <w:r w:rsidRPr="003E13AB">
              <w:rPr>
                <w:rStyle w:val="CALIBRI11"/>
              </w:rPr>
              <w:t>enu dokumentaciju je evidentno da postoje pravilnici</w:t>
            </w:r>
            <w:r>
              <w:rPr>
                <w:rStyle w:val="CALIBRI11"/>
              </w:rPr>
              <w:t xml:space="preserve"> </w:t>
            </w:r>
            <w:r w:rsidRPr="003E13AB">
              <w:rPr>
                <w:rStyle w:val="CALIBRI11"/>
              </w:rPr>
              <w:t xml:space="preserve">koji regulišu priznavanje kvalifikacija stečenih u drugim </w:t>
            </w:r>
            <w:r w:rsidR="0017552F">
              <w:rPr>
                <w:rStyle w:val="CALIBRI11"/>
              </w:rPr>
              <w:t>Ustanova</w:t>
            </w:r>
            <w:r w:rsidRPr="003E13AB">
              <w:rPr>
                <w:rStyle w:val="CALIBRI11"/>
              </w:rPr>
              <w:t>ma, za sticanje i priznavanje</w:t>
            </w:r>
            <w:r>
              <w:rPr>
                <w:rStyle w:val="CALIBRI11"/>
              </w:rPr>
              <w:t xml:space="preserve"> </w:t>
            </w:r>
            <w:r w:rsidRPr="003E13AB">
              <w:rPr>
                <w:rStyle w:val="CALIBRI11"/>
              </w:rPr>
              <w:t xml:space="preserve">kvalifikacija, za analizu upisa studenata </w:t>
            </w:r>
            <w:r w:rsidR="00D235AD">
              <w:rPr>
                <w:rStyle w:val="CALIBRI11"/>
              </w:rPr>
              <w:t>i</w:t>
            </w:r>
            <w:r w:rsidRPr="003E13AB">
              <w:rPr>
                <w:rStyle w:val="CALIBRI11"/>
              </w:rPr>
              <w:t xml:space="preserve"> praćenje napredovanja studenata.</w:t>
            </w:r>
          </w:p>
          <w:p w:rsidR="003E13AB" w:rsidRPr="003E13AB" w:rsidRDefault="003E13AB" w:rsidP="003E13AB">
            <w:pPr>
              <w:spacing w:after="0"/>
              <w:jc w:val="both"/>
              <w:rPr>
                <w:rStyle w:val="CALIBRI11"/>
              </w:rPr>
            </w:pPr>
            <w:r w:rsidRPr="003E13AB">
              <w:rPr>
                <w:rStyle w:val="CALIBRI11"/>
              </w:rPr>
              <w:t>Postoji dokument koji je usklađen sa Zakonom i kojim se reguliše procedura za upis studenata.</w:t>
            </w:r>
          </w:p>
          <w:p w:rsidR="007452A1" w:rsidRDefault="006678CF">
            <w:pPr>
              <w:spacing w:after="0"/>
              <w:jc w:val="both"/>
            </w:pPr>
            <w:r>
              <w:rPr>
                <w:rStyle w:val="CALIBRI11"/>
              </w:rPr>
              <w:t xml:space="preserve">Strani studenti koji ulaze u projekat o mobilnosti mogu se informisati o potrebnoj dokumentaciji i drugim relevatnim informacijama na sajtu Univerziteta </w:t>
            </w:r>
          </w:p>
          <w:p w:rsidR="007452A1" w:rsidRDefault="006678CF">
            <w:pPr>
              <w:spacing w:after="0"/>
              <w:jc w:val="both"/>
            </w:pPr>
            <w:r>
              <w:rPr>
                <w:rStyle w:val="CALIBRI11"/>
              </w:rPr>
              <w:t>http://spu.ba/wp-content/uploads/2018/02/Pravilnik-o-mobilnosti-studenata-anstavnog-i-nenastavnog-osoblja.pdf</w:t>
            </w:r>
          </w:p>
          <w:p w:rsidR="007452A1" w:rsidRDefault="0017552F">
            <w:pPr>
              <w:spacing w:after="0"/>
              <w:jc w:val="both"/>
            </w:pPr>
            <w:r>
              <w:rPr>
                <w:rStyle w:val="CALIBRI11"/>
              </w:rPr>
              <w:t>Ustanova</w:t>
            </w:r>
            <w:r w:rsidR="006678CF">
              <w:rPr>
                <w:rStyle w:val="CALIBRI11"/>
              </w:rPr>
              <w:t xml:space="preserve"> ima Kancelariju za međunarodnu saradnju koja ima tri člana: kooridnator za mobilnost, koordinator za naučno-istraživačke projekte i ECTS koordinator, kao i  potpisane međunarodne sporazume, kao i akte koji regulišu međunarodnu saradnju i mobilnost studenata.</w:t>
            </w:r>
          </w:p>
          <w:p w:rsidR="007452A1" w:rsidRDefault="007452A1">
            <w:pPr>
              <w:spacing w:after="0"/>
              <w:jc w:val="both"/>
            </w:pPr>
          </w:p>
          <w:p w:rsidR="007452A1" w:rsidRDefault="006678CF">
            <w:pPr>
              <w:spacing w:after="0"/>
              <w:jc w:val="both"/>
            </w:pPr>
            <w:r>
              <w:rPr>
                <w:rStyle w:val="CALIBRIBOLD11"/>
              </w:rPr>
              <w:t>B.5 Nastavno osoblje</w:t>
            </w:r>
          </w:p>
          <w:p w:rsidR="007452A1" w:rsidRDefault="007452A1">
            <w:pPr>
              <w:spacing w:after="0"/>
              <w:jc w:val="both"/>
            </w:pPr>
          </w:p>
          <w:p w:rsidR="007452A1" w:rsidRDefault="006678CF">
            <w:pPr>
              <w:spacing w:after="0"/>
              <w:jc w:val="both"/>
            </w:pPr>
            <w:r>
              <w:rPr>
                <w:rStyle w:val="CALIBRI11"/>
              </w:rPr>
              <w:t xml:space="preserve">Pre početka svake akademske godine,  u skladu sa Zakonom o visokom obrazovanju RS i Uredbom o uslovima za osnivanje i početak rada visokoškolskih </w:t>
            </w:r>
            <w:r w:rsidR="0017552F">
              <w:rPr>
                <w:rStyle w:val="CALIBRI11"/>
              </w:rPr>
              <w:t>Ustanova</w:t>
            </w:r>
            <w:r>
              <w:rPr>
                <w:rStyle w:val="CALIBRI11"/>
              </w:rPr>
              <w:t xml:space="preserve"> i o postupku utvrđivanja ispunjenosti uslova Senat vrši analizu i utvrđuje opterećenost nastavnog akademskog kadra na Slobimir P Univerzitetu</w:t>
            </w:r>
          </w:p>
          <w:p w:rsidR="007452A1" w:rsidRDefault="007452A1">
            <w:pPr>
              <w:spacing w:after="0"/>
              <w:jc w:val="both"/>
            </w:pPr>
          </w:p>
          <w:p w:rsidR="007452A1" w:rsidRDefault="006678CF">
            <w:pPr>
              <w:spacing w:after="0"/>
              <w:jc w:val="both"/>
            </w:pPr>
            <w:r>
              <w:rPr>
                <w:rStyle w:val="CALIBRI11"/>
              </w:rPr>
              <w:t xml:space="preserve">Nastavnicima i studentima omogućeno je besplatno učešće na određenim naučnim skupovima, na kojima mogu da prezentuju svoj istraživački rad. </w:t>
            </w:r>
          </w:p>
          <w:p w:rsidR="007452A1" w:rsidRDefault="007452A1">
            <w:pPr>
              <w:spacing w:after="0"/>
              <w:jc w:val="both"/>
            </w:pPr>
          </w:p>
          <w:p w:rsidR="007452A1" w:rsidRDefault="006678CF">
            <w:pPr>
              <w:spacing w:after="0"/>
              <w:jc w:val="both"/>
            </w:pPr>
            <w:r>
              <w:rPr>
                <w:rStyle w:val="CALIBRI11"/>
              </w:rPr>
              <w:t>Postoji  spisak obuka koje je polagalo nenastavno i administrativno osoblje Univerziteta, kao i Pravilnik o računovodstvu</w:t>
            </w:r>
          </w:p>
        </w:tc>
      </w:tr>
      <w:tr w:rsidR="007452A1" w:rsidTr="00B64EA1">
        <w:trPr>
          <w:trHeight w:val="400"/>
        </w:trPr>
        <w:tc>
          <w:tcPr>
            <w:tcW w:w="10206"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7452A1" w:rsidRDefault="006678CF">
            <w:pPr>
              <w:spacing w:after="0"/>
            </w:pPr>
            <w:r>
              <w:rPr>
                <w:rStyle w:val="CALIBRIBOLD11"/>
              </w:rPr>
              <w:lastRenderedPageBreak/>
              <w:t>SLABE STRANE</w:t>
            </w:r>
          </w:p>
        </w:tc>
      </w:tr>
      <w:tr w:rsidR="007452A1" w:rsidTr="00B64EA1">
        <w:trPr>
          <w:trHeight w:val="400"/>
        </w:trPr>
        <w:tc>
          <w:tcPr>
            <w:tcW w:w="10206" w:type="dxa"/>
            <w:gridSpan w:val="4"/>
            <w:tcBorders>
              <w:top w:val="single" w:sz="1" w:space="0" w:color="000000"/>
              <w:left w:val="single" w:sz="1" w:space="0" w:color="000000"/>
              <w:bottom w:val="single" w:sz="1" w:space="0" w:color="000000"/>
              <w:right w:val="single" w:sz="1" w:space="0" w:color="000000"/>
            </w:tcBorders>
          </w:tcPr>
          <w:p w:rsidR="007452A1" w:rsidRDefault="006678CF">
            <w:pPr>
              <w:spacing w:after="0"/>
              <w:jc w:val="both"/>
            </w:pPr>
            <w:r>
              <w:rPr>
                <w:rStyle w:val="CALIBRIBOLD11"/>
              </w:rPr>
              <w:t>B.2 Kreiranje i odobravanje studijskih programa</w:t>
            </w:r>
          </w:p>
          <w:p w:rsidR="007452A1" w:rsidRDefault="007452A1">
            <w:pPr>
              <w:spacing w:after="0"/>
              <w:jc w:val="both"/>
            </w:pPr>
          </w:p>
          <w:p w:rsidR="008B6CE9" w:rsidRDefault="008B6CE9">
            <w:pPr>
              <w:spacing w:after="0"/>
              <w:jc w:val="both"/>
              <w:rPr>
                <w:rStyle w:val="CALIBRI11"/>
              </w:rPr>
            </w:pPr>
            <w:r>
              <w:rPr>
                <w:rStyle w:val="CALIBRI11"/>
              </w:rPr>
              <w:t xml:space="preserve">Nisu </w:t>
            </w:r>
            <w:r w:rsidR="003B1026">
              <w:rPr>
                <w:rStyle w:val="CALIBRI11"/>
              </w:rPr>
              <w:t>dostupni podaci o</w:t>
            </w:r>
            <w:r>
              <w:rPr>
                <w:rStyle w:val="CALIBRI11"/>
              </w:rPr>
              <w:t xml:space="preserve"> kriterijumi</w:t>
            </w:r>
            <w:r w:rsidR="003B1026">
              <w:rPr>
                <w:rStyle w:val="CALIBRI11"/>
              </w:rPr>
              <w:t>ma</w:t>
            </w:r>
            <w:r>
              <w:rPr>
                <w:rStyle w:val="CALIBRI11"/>
              </w:rPr>
              <w:t xml:space="preserve"> na osnovu kojih će se izvršiti neophodna analiza, eventualna izmena i dopuna, odnosno unapređenje nastavnih planova i programa.</w:t>
            </w:r>
          </w:p>
          <w:p w:rsidR="008B6CE9" w:rsidRDefault="008B6CE9">
            <w:pPr>
              <w:spacing w:after="0"/>
              <w:jc w:val="both"/>
              <w:rPr>
                <w:rStyle w:val="CALIBRI11"/>
              </w:rPr>
            </w:pPr>
          </w:p>
          <w:p w:rsidR="008B6CE9" w:rsidRDefault="008B6CE9">
            <w:pPr>
              <w:spacing w:after="0"/>
              <w:jc w:val="both"/>
              <w:rPr>
                <w:rStyle w:val="CALIBRI11"/>
              </w:rPr>
            </w:pPr>
            <w:r>
              <w:rPr>
                <w:rStyle w:val="CALIBRI11"/>
              </w:rPr>
              <w:t>Utvrđivanje zadovoljstva studenata se samo delimično obavlja, verovatno zbog studentskih grupa koje su malobrojne, odnosno zbog predviđene individualne nastave, na većini smerova SP MAS Muzika.</w:t>
            </w:r>
          </w:p>
          <w:p w:rsidR="008B6CE9" w:rsidRDefault="008B6CE9">
            <w:pPr>
              <w:spacing w:after="0"/>
              <w:jc w:val="both"/>
              <w:rPr>
                <w:rStyle w:val="CALIBRI11"/>
              </w:rPr>
            </w:pPr>
          </w:p>
          <w:p w:rsidR="007C7C1C" w:rsidRDefault="007C7C1C">
            <w:pPr>
              <w:spacing w:after="0"/>
              <w:jc w:val="both"/>
              <w:rPr>
                <w:rFonts w:ascii="Calibri" w:hAnsi="Calibri"/>
                <w:color w:val="000000"/>
                <w:sz w:val="22"/>
                <w:shd w:val="clear" w:color="auto" w:fill="FFFFFF"/>
              </w:rPr>
            </w:pPr>
            <w:r w:rsidRPr="007C7C1C">
              <w:rPr>
                <w:rFonts w:ascii="Calibri" w:hAnsi="Calibri"/>
                <w:color w:val="000000"/>
                <w:sz w:val="22"/>
                <w:shd w:val="clear" w:color="auto" w:fill="FFFFFF"/>
              </w:rPr>
              <w:t>Iako su navedene VŠU sa kojim je navedeni studijski program MAS Muzika usklađen, ne može se reći da je to zaista i ostvareno.</w:t>
            </w:r>
          </w:p>
          <w:p w:rsidR="00111995" w:rsidRPr="007C7C1C" w:rsidRDefault="00111995">
            <w:pPr>
              <w:spacing w:after="0"/>
              <w:jc w:val="both"/>
              <w:rPr>
                <w:rStyle w:val="CALIBRI11"/>
                <w:sz w:val="24"/>
              </w:rPr>
            </w:pPr>
          </w:p>
          <w:p w:rsidR="007452A1" w:rsidRDefault="006678CF">
            <w:pPr>
              <w:spacing w:after="0"/>
              <w:jc w:val="both"/>
              <w:rPr>
                <w:rStyle w:val="CALIBRI11"/>
              </w:rPr>
            </w:pPr>
            <w:r>
              <w:rPr>
                <w:rStyle w:val="CALIBRI11"/>
              </w:rPr>
              <w:t>Knjige predmeta koje su dostupne</w:t>
            </w:r>
            <w:r w:rsidR="002B6E95">
              <w:rPr>
                <w:rStyle w:val="CALIBRI11"/>
              </w:rPr>
              <w:t xml:space="preserve"> i</w:t>
            </w:r>
            <w:r>
              <w:rPr>
                <w:rStyle w:val="CALIBRI11"/>
              </w:rPr>
              <w:t xml:space="preserve"> na sajtu Univerzita nisu ispunjene na odgovarajući način i u njima nema sadržanih svih relevantnih i značajnih podataka</w:t>
            </w:r>
            <w:r w:rsidR="002B6E95">
              <w:rPr>
                <w:rStyle w:val="CALIBRI11"/>
              </w:rPr>
              <w:t>.</w:t>
            </w:r>
          </w:p>
          <w:p w:rsidR="007452A1" w:rsidRDefault="006678CF">
            <w:pPr>
              <w:spacing w:after="0"/>
              <w:jc w:val="both"/>
            </w:pPr>
            <w:r>
              <w:rPr>
                <w:rStyle w:val="CALIBRI11"/>
              </w:rPr>
              <w:t xml:space="preserve">Za više predmeta izostavljeni su uslovi za upis. </w:t>
            </w:r>
          </w:p>
          <w:p w:rsidR="007A1B17" w:rsidRDefault="007A1B17" w:rsidP="007A1B17">
            <w:pPr>
              <w:jc w:val="both"/>
              <w:rPr>
                <w:rFonts w:ascii="Calibri" w:hAnsi="Calibri"/>
                <w:sz w:val="22"/>
                <w:szCs w:val="22"/>
              </w:rPr>
            </w:pPr>
            <w:r w:rsidRPr="005375A1">
              <w:rPr>
                <w:rFonts w:ascii="Calibri" w:hAnsi="Calibri"/>
                <w:sz w:val="22"/>
                <w:szCs w:val="22"/>
              </w:rPr>
              <w:t xml:space="preserve">Kod većine nastavnih predmeta u knjigama predmeta </w:t>
            </w:r>
            <w:r w:rsidRPr="005375A1">
              <w:rPr>
                <w:rFonts w:ascii="Calibri" w:hAnsi="Calibri"/>
                <w:b/>
                <w:sz w:val="22"/>
                <w:szCs w:val="22"/>
              </w:rPr>
              <w:t>nedostaju zahtevi</w:t>
            </w:r>
            <w:r w:rsidRPr="005375A1">
              <w:rPr>
                <w:rFonts w:ascii="Calibri" w:hAnsi="Calibri"/>
                <w:sz w:val="22"/>
                <w:szCs w:val="22"/>
              </w:rPr>
              <w:t xml:space="preserve"> za ispit, kolokvijum i seminarski rad </w:t>
            </w:r>
            <w:r w:rsidRPr="005375A1">
              <w:rPr>
                <w:rFonts w:ascii="Calibri" w:hAnsi="Calibri"/>
                <w:sz w:val="22"/>
                <w:szCs w:val="22"/>
              </w:rPr>
              <w:lastRenderedPageBreak/>
              <w:t>(tamo gde je to predviđeno). Izostalo je navođenje</w:t>
            </w:r>
            <w:r w:rsidRPr="005375A1">
              <w:rPr>
                <w:rFonts w:ascii="Calibri" w:hAnsi="Calibri"/>
                <w:b/>
                <w:sz w:val="22"/>
                <w:szCs w:val="22"/>
              </w:rPr>
              <w:t xml:space="preserve"> </w:t>
            </w:r>
            <w:r w:rsidRPr="005375A1">
              <w:rPr>
                <w:rFonts w:ascii="Calibri" w:hAnsi="Calibri"/>
                <w:sz w:val="22"/>
                <w:szCs w:val="22"/>
              </w:rPr>
              <w:t>metoda izvođenja nastave, tipa nastave (individulana, grupna, sa veličinom grupe</w:t>
            </w:r>
            <w:r w:rsidRPr="005375A1">
              <w:rPr>
                <w:rFonts w:ascii="Calibri" w:hAnsi="Calibri"/>
                <w:b/>
                <w:sz w:val="22"/>
                <w:szCs w:val="22"/>
              </w:rPr>
              <w:t xml:space="preserve"> </w:t>
            </w:r>
            <w:r w:rsidRPr="005375A1">
              <w:rPr>
                <w:rFonts w:ascii="Calibri" w:hAnsi="Calibri"/>
                <w:sz w:val="22"/>
                <w:szCs w:val="22"/>
              </w:rPr>
              <w:t>ili kolektivna), kao i ishoda učenja.</w:t>
            </w:r>
          </w:p>
          <w:p w:rsidR="007452A1" w:rsidRPr="007A1B17" w:rsidRDefault="006678CF" w:rsidP="007A1B17">
            <w:pPr>
              <w:jc w:val="both"/>
              <w:rPr>
                <w:rFonts w:ascii="Calibri" w:hAnsi="Calibri"/>
                <w:sz w:val="22"/>
                <w:szCs w:val="22"/>
              </w:rPr>
            </w:pPr>
            <w:r>
              <w:rPr>
                <w:rStyle w:val="CALIBRI11"/>
              </w:rPr>
              <w:t>Sadržaji u specifikacijama predmeta su identični iako se radi o predmetima koji se slušaju u različitim semestrima.</w:t>
            </w:r>
          </w:p>
          <w:p w:rsidR="007452A1" w:rsidRDefault="002B6E95">
            <w:pPr>
              <w:spacing w:after="0"/>
              <w:jc w:val="both"/>
            </w:pPr>
            <w:r>
              <w:rPr>
                <w:rStyle w:val="CALIBRI11"/>
              </w:rPr>
              <w:t>Obavezna i p</w:t>
            </w:r>
            <w:r w:rsidR="006678CF">
              <w:rPr>
                <w:rStyle w:val="CALIBRI11"/>
              </w:rPr>
              <w:t>reporučena literatura u specifikacijama predmeta je kod brojnih predmeta više nego minimalna za navedeni nivo studija</w:t>
            </w:r>
            <w:r>
              <w:rPr>
                <w:rStyle w:val="CALIBRI11"/>
              </w:rPr>
              <w:t>.</w:t>
            </w:r>
          </w:p>
          <w:p w:rsidR="007452A1" w:rsidRDefault="006678CF">
            <w:pPr>
              <w:spacing w:after="0"/>
              <w:jc w:val="both"/>
            </w:pPr>
            <w:r>
              <w:rPr>
                <w:rStyle w:val="CALIBRI11"/>
              </w:rPr>
              <w:t>Iako se radi o identičnom nedeljnom fondu aktivne nastave, identičnim zahtevima na predmetu u prvom i drugom semestru (1 i 2) predviđen broj ESP Bodova je različit (u prvom semestru 10 ESPB u drugom 4 ESPB)</w:t>
            </w:r>
          </w:p>
          <w:p w:rsidR="007452A1" w:rsidRDefault="006678CF">
            <w:pPr>
              <w:spacing w:after="0"/>
              <w:jc w:val="both"/>
            </w:pPr>
            <w:r>
              <w:rPr>
                <w:rStyle w:val="CALIBRI11"/>
              </w:rPr>
              <w:t>Izborni predmeti Metodika nastave gitare, Metodika nastave klavira i Kamerna muzika na smeru Muzička pedagogija nemaju svoje opravdanje, obzirom da studenti smera Muzička pedagogija izučavanjem ovih nastavnih predmeta i po završetku MAS ne stiču kompetencije koje su u specifikaciji predmeta navedne.</w:t>
            </w:r>
          </w:p>
          <w:p w:rsidR="005375A1" w:rsidRDefault="006678CF" w:rsidP="005375A1">
            <w:pPr>
              <w:spacing w:after="0"/>
              <w:jc w:val="both"/>
            </w:pPr>
            <w:r>
              <w:rPr>
                <w:rStyle w:val="CALIBRI11"/>
              </w:rPr>
              <w:t>Nije jasno kako je na smeru Muzička pedagogija u specifikaciji izbornog predmeta Osnovi orkestracije  sadržaj</w:t>
            </w:r>
            <w:r w:rsidR="002B6E95">
              <w:rPr>
                <w:rStyle w:val="CALIBRI11"/>
              </w:rPr>
              <w:t xml:space="preserve"> predmeta</w:t>
            </w:r>
            <w:r>
              <w:rPr>
                <w:rStyle w:val="CALIBRI11"/>
              </w:rPr>
              <w:t xml:space="preserve"> identičan sa sadržajem istog predmeta na OAS (Muzička teorija i pedagogija).</w:t>
            </w:r>
          </w:p>
          <w:p w:rsidR="005375A1" w:rsidRDefault="005375A1" w:rsidP="005375A1">
            <w:pPr>
              <w:spacing w:after="0"/>
              <w:jc w:val="both"/>
            </w:pPr>
          </w:p>
          <w:p w:rsidR="005375A1" w:rsidRPr="005375A1" w:rsidRDefault="0017552F" w:rsidP="005375A1">
            <w:pPr>
              <w:spacing w:after="0"/>
              <w:jc w:val="both"/>
            </w:pPr>
            <w:r>
              <w:rPr>
                <w:rFonts w:ascii="Calibri" w:hAnsi="Calibri"/>
                <w:sz w:val="22"/>
                <w:szCs w:val="22"/>
              </w:rPr>
              <w:t>Ustanova</w:t>
            </w:r>
            <w:r w:rsidR="005375A1" w:rsidRPr="005375A1">
              <w:rPr>
                <w:rFonts w:ascii="Calibri" w:hAnsi="Calibri"/>
                <w:sz w:val="22"/>
                <w:szCs w:val="22"/>
              </w:rPr>
              <w:t xml:space="preserve"> je dostavila neophodnu dokumentaciju za akreditaciju, u kojoj je u dokumentu koji je naslovljen „02 SP Muzika MAS” navedeno (str. 2 ) da stručna praksa nije predviđena.</w:t>
            </w:r>
          </w:p>
          <w:p w:rsidR="005375A1" w:rsidRPr="005375A1" w:rsidRDefault="005375A1" w:rsidP="005375A1">
            <w:pPr>
              <w:jc w:val="both"/>
              <w:rPr>
                <w:rFonts w:ascii="Calibri" w:hAnsi="Calibri"/>
                <w:i/>
                <w:sz w:val="22"/>
                <w:szCs w:val="22"/>
              </w:rPr>
            </w:pPr>
            <w:r w:rsidRPr="005375A1">
              <w:rPr>
                <w:rFonts w:ascii="Calibri" w:hAnsi="Calibri"/>
                <w:sz w:val="22"/>
                <w:szCs w:val="22"/>
              </w:rPr>
              <w:t>No pregledom NP može se utvrditi da je Stručna praksa predviđena na SP MUZIKA MAS i to samo na smerovima Muzička teorija i Muzička pedagogija. Pregledom knjige predmeta na oba smera može se zaključiti da su one identične, da se bez obzira na različite smerove ni po čemu ne razlikuju (mada bi treblao jer su izlazne kompetencije studenata razlikuju), ali i da ne odgovaraju zahtevima stručne prakse. Ovakava način organizovanja prakse, gde se u potpunosti ne može saznati u koje vreme, u kom obimu, pod čijim mentorstvo, kao i zbog čega se studenti upućuju u samo „srednje muzičke škole”, ne odgovara zahtev</w:t>
            </w:r>
            <w:r w:rsidR="00DF6871">
              <w:rPr>
                <w:rFonts w:ascii="Calibri" w:hAnsi="Calibri"/>
                <w:sz w:val="22"/>
                <w:szCs w:val="22"/>
              </w:rPr>
              <w:t>i</w:t>
            </w:r>
            <w:r w:rsidRPr="005375A1">
              <w:rPr>
                <w:rFonts w:ascii="Calibri" w:hAnsi="Calibri"/>
                <w:sz w:val="22"/>
                <w:szCs w:val="22"/>
              </w:rPr>
              <w:t xml:space="preserve">ma stručne prakse. Način navođenja upućuje da se radi o praktičnoj nastavi koja je povezana sa metodikom (povezana je samo sa metodikom nastave solfeđa) iako to nigde nije precizno navedeno. Na osnovu broja dodeljenih ESP Bodova neophodno je u knjizi predmeta navesti i broj časova (bez obzira što to nisu časovi aktivne nastave, oni jesu svakako drugi oblici nastave koji predstavljaju „opterećenje studeneta “ na osnovu kojih se i mogu dodeliti ESP Bodovi). U sadržaju predmeta je navedeno: „Pohađanje i praćenje nastave u školama iz predmeta koji pripadaju oblasti završnog  rada”, a u cilju predmeta: „obavljanje stručne prakse u Srednjoj muzičkoj školi”, zbog čega je upitno gde će biti upućeni studenti koji su se odlučili da oblasta njihovog završnog rada bude </w:t>
            </w:r>
            <w:r w:rsidRPr="005375A1">
              <w:rPr>
                <w:rFonts w:ascii="Calibri" w:hAnsi="Calibri"/>
                <w:i/>
                <w:sz w:val="22"/>
                <w:szCs w:val="22"/>
              </w:rPr>
              <w:t>Metodika opšteg muzičkog obrazovanja.</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U NP Stručna praksa na SP </w:t>
            </w:r>
            <w:r w:rsidR="00DF6871" w:rsidRPr="005375A1">
              <w:rPr>
                <w:rFonts w:ascii="Calibri" w:hAnsi="Calibri"/>
                <w:sz w:val="22"/>
                <w:szCs w:val="22"/>
              </w:rPr>
              <w:t xml:space="preserve">MAS </w:t>
            </w:r>
            <w:r w:rsidRPr="005375A1">
              <w:rPr>
                <w:rFonts w:ascii="Calibri" w:hAnsi="Calibri"/>
                <w:sz w:val="22"/>
                <w:szCs w:val="22"/>
              </w:rPr>
              <w:t>MUZIKA izvođačke umetnosti je izostala.</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Izbornost na SP </w:t>
            </w:r>
            <w:r w:rsidR="00DF6871" w:rsidRPr="005375A1">
              <w:rPr>
                <w:rFonts w:ascii="Calibri" w:hAnsi="Calibri"/>
                <w:sz w:val="22"/>
                <w:szCs w:val="22"/>
              </w:rPr>
              <w:t xml:space="preserve">MAS </w:t>
            </w:r>
            <w:r w:rsidRPr="005375A1">
              <w:rPr>
                <w:rFonts w:ascii="Calibri" w:hAnsi="Calibri"/>
                <w:sz w:val="22"/>
                <w:szCs w:val="22"/>
              </w:rPr>
              <w:t xml:space="preserve">MUZIKA upitna je. </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Najpre na smeru </w:t>
            </w:r>
            <w:r w:rsidRPr="005375A1">
              <w:rPr>
                <w:rFonts w:ascii="Calibri" w:hAnsi="Calibri"/>
                <w:i/>
                <w:sz w:val="22"/>
                <w:szCs w:val="22"/>
              </w:rPr>
              <w:t>Izvođačke umetnosti</w:t>
            </w:r>
            <w:r w:rsidRPr="005375A1">
              <w:rPr>
                <w:rFonts w:ascii="Calibri" w:hAnsi="Calibri"/>
                <w:sz w:val="22"/>
                <w:szCs w:val="22"/>
              </w:rPr>
              <w:t>, ne može se utvrditi da student bira, već samo nastavlja sa daljim izučavanjem instrumenta odnosno smera (muzički instrument) koji je završio na OAS. To znači da</w:t>
            </w:r>
            <w:r w:rsidR="003B5611">
              <w:rPr>
                <w:rFonts w:ascii="Calibri" w:hAnsi="Calibri"/>
                <w:sz w:val="22"/>
                <w:szCs w:val="22"/>
              </w:rPr>
              <w:t xml:space="preserve"> izborom smera, student ne bira izborni predmet već smer, što upućuje na činjenicu da </w:t>
            </w:r>
            <w:r w:rsidRPr="005375A1">
              <w:rPr>
                <w:rFonts w:ascii="Calibri" w:hAnsi="Calibri"/>
                <w:sz w:val="22"/>
                <w:szCs w:val="22"/>
              </w:rPr>
              <w:t xml:space="preserve">iako je zastupljena samo jedna grupa izbornih predmeta mogućnost izbora objektivno ne postoji. </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U dokumentu koji je </w:t>
            </w:r>
            <w:r w:rsidR="0017552F">
              <w:rPr>
                <w:rFonts w:ascii="Calibri" w:hAnsi="Calibri"/>
                <w:sz w:val="22"/>
                <w:szCs w:val="22"/>
              </w:rPr>
              <w:t>Ustanova</w:t>
            </w:r>
            <w:r w:rsidRPr="005375A1">
              <w:rPr>
                <w:rFonts w:ascii="Calibri" w:hAnsi="Calibri"/>
                <w:sz w:val="22"/>
                <w:szCs w:val="22"/>
              </w:rPr>
              <w:t xml:space="preserve"> predala za proces akreditacije, a koji je naslovljen kao 02 SP Muzika MAS stoji </w:t>
            </w:r>
            <w:r w:rsidRPr="005375A1">
              <w:rPr>
                <w:rFonts w:ascii="Calibri" w:hAnsi="Calibri"/>
                <w:sz w:val="22"/>
                <w:szCs w:val="22"/>
              </w:rPr>
              <w:lastRenderedPageBreak/>
              <w:t>navedeno:</w:t>
            </w:r>
          </w:p>
          <w:p w:rsidR="005375A1" w:rsidRPr="005375A1" w:rsidRDefault="005375A1" w:rsidP="005375A1">
            <w:pPr>
              <w:jc w:val="both"/>
              <w:rPr>
                <w:rFonts w:ascii="Calibri" w:hAnsi="Calibri"/>
                <w:sz w:val="22"/>
                <w:szCs w:val="22"/>
              </w:rPr>
            </w:pPr>
            <w:r w:rsidRPr="005375A1">
              <w:rPr>
                <w:rFonts w:ascii="Calibri" w:hAnsi="Calibri"/>
                <w:sz w:val="22"/>
                <w:szCs w:val="22"/>
              </w:rPr>
              <w:t>„11.  Izborni predmeti iz drugih studijskih programa Slobomir P Univerziteta:</w:t>
            </w:r>
          </w:p>
          <w:p w:rsidR="005375A1" w:rsidRPr="005375A1" w:rsidRDefault="005375A1" w:rsidP="005375A1">
            <w:pPr>
              <w:jc w:val="both"/>
              <w:rPr>
                <w:rFonts w:ascii="Calibri" w:hAnsi="Calibri"/>
                <w:sz w:val="22"/>
                <w:szCs w:val="22"/>
              </w:rPr>
            </w:pPr>
            <w:r w:rsidRPr="005375A1">
              <w:rPr>
                <w:rFonts w:ascii="Calibri" w:hAnsi="Calibri"/>
                <w:sz w:val="22"/>
                <w:szCs w:val="22"/>
              </w:rPr>
              <w:t>Studentima osnovnih akademskih studija muzike (na smeru za Muzičku teoriju i pedagogiju) ponuđeno je da izaberu jedan od dva predmeta u zimskom i jedan od četiri predmeta u ljetnjem semestru. Izborni predmeti se izvode u okviru (drugih) studijskih programa na Akademiji umjetnosti (Klavir, Gitara), te u okviru studijskih programa na Filološkom fakultetu (FIL). Izborni predmeti nude opšta ili posebna znanja od značaja za istraživački i kreativni rad i imaju za cilj da prošire ili upotpune referentno polje master rada. Izborni predmeti su: Osnovi orkestracije, Istorija umjetnosti (FIL), Metodika nastave klavira, Metodika nastave gitare, Rad sa ansamblom, Kamerna muzika”.</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Potrebno je ukazati na propust da se ne radi o studentima OAS smera </w:t>
            </w:r>
            <w:r w:rsidRPr="005375A1">
              <w:rPr>
                <w:rFonts w:ascii="Calibri" w:hAnsi="Calibri"/>
                <w:i/>
                <w:sz w:val="22"/>
                <w:szCs w:val="22"/>
              </w:rPr>
              <w:t xml:space="preserve">Muzička teorija i pedagogija, </w:t>
            </w:r>
            <w:r w:rsidRPr="005375A1">
              <w:rPr>
                <w:rFonts w:ascii="Calibri" w:hAnsi="Calibri"/>
                <w:sz w:val="22"/>
                <w:szCs w:val="22"/>
              </w:rPr>
              <w:t xml:space="preserve">već o studentima </w:t>
            </w:r>
            <w:r w:rsidR="003B5611">
              <w:rPr>
                <w:rFonts w:ascii="Calibri" w:hAnsi="Calibri"/>
                <w:sz w:val="22"/>
                <w:szCs w:val="22"/>
              </w:rPr>
              <w:t xml:space="preserve">MAS, </w:t>
            </w:r>
            <w:r w:rsidRPr="005375A1">
              <w:rPr>
                <w:rFonts w:ascii="Calibri" w:hAnsi="Calibri"/>
                <w:sz w:val="22"/>
                <w:szCs w:val="22"/>
              </w:rPr>
              <w:t xml:space="preserve">zasebnih smerova (MAS Muzika smer </w:t>
            </w:r>
            <w:r w:rsidRPr="005375A1">
              <w:rPr>
                <w:rFonts w:ascii="Calibri" w:hAnsi="Calibri"/>
                <w:i/>
                <w:sz w:val="22"/>
                <w:szCs w:val="22"/>
              </w:rPr>
              <w:t xml:space="preserve">Muzička teorija </w:t>
            </w:r>
            <w:r w:rsidRPr="005375A1">
              <w:rPr>
                <w:rFonts w:ascii="Calibri" w:hAnsi="Calibri"/>
                <w:sz w:val="22"/>
                <w:szCs w:val="22"/>
              </w:rPr>
              <w:t xml:space="preserve">i MAS Muzika smera </w:t>
            </w:r>
            <w:r w:rsidRPr="005375A1">
              <w:rPr>
                <w:rFonts w:ascii="Calibri" w:hAnsi="Calibri"/>
                <w:i/>
                <w:sz w:val="22"/>
                <w:szCs w:val="22"/>
              </w:rPr>
              <w:t>Muzička pedagogija</w:t>
            </w:r>
            <w:r w:rsidRPr="005375A1">
              <w:rPr>
                <w:rFonts w:ascii="Calibri" w:hAnsi="Calibri"/>
                <w:sz w:val="22"/>
                <w:szCs w:val="22"/>
              </w:rPr>
              <w:t xml:space="preserve">. Zašto su studentima </w:t>
            </w:r>
            <w:r w:rsidR="003B5611">
              <w:rPr>
                <w:rFonts w:ascii="Calibri" w:hAnsi="Calibri"/>
                <w:sz w:val="22"/>
                <w:szCs w:val="22"/>
              </w:rPr>
              <w:t xml:space="preserve">MAS </w:t>
            </w:r>
            <w:r w:rsidRPr="005375A1">
              <w:rPr>
                <w:rFonts w:ascii="Calibri" w:hAnsi="Calibri"/>
                <w:sz w:val="22"/>
                <w:szCs w:val="22"/>
              </w:rPr>
              <w:t xml:space="preserve">ponuđeni navedeni nastavni predmeti sa OAS? Da li će se nastava odvijati zajedno sa studentima OAS? </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Na smeru Muzička teorija postoje tri grupe izbornih predmeta. Prva koju čine nastavni predmeti </w:t>
            </w:r>
            <w:r w:rsidRPr="005375A1">
              <w:rPr>
                <w:rFonts w:ascii="Calibri" w:hAnsi="Calibri"/>
                <w:i/>
                <w:sz w:val="22"/>
                <w:szCs w:val="22"/>
              </w:rPr>
              <w:t>Muzički oblici, Kontrapunkt i Harmonija</w:t>
            </w:r>
            <w:r w:rsidRPr="005375A1">
              <w:rPr>
                <w:rFonts w:ascii="Calibri" w:hAnsi="Calibri"/>
                <w:sz w:val="22"/>
                <w:szCs w:val="22"/>
              </w:rPr>
              <w:t xml:space="preserve"> (predmeti iz kojih će studenti pisati završni rad), drugu grupu izbornih predmeta čine </w:t>
            </w:r>
            <w:r w:rsidRPr="005375A1">
              <w:rPr>
                <w:rFonts w:ascii="Calibri" w:hAnsi="Calibri"/>
                <w:i/>
                <w:sz w:val="22"/>
                <w:szCs w:val="22"/>
              </w:rPr>
              <w:t xml:space="preserve">Osnovi orkestracije i Istorija umjetnosti </w:t>
            </w:r>
            <w:r w:rsidRPr="005375A1">
              <w:rPr>
                <w:rFonts w:ascii="Calibri" w:hAnsi="Calibri"/>
                <w:sz w:val="22"/>
                <w:szCs w:val="22"/>
              </w:rPr>
              <w:t xml:space="preserve">i treća grupa izbornih u kojoj su zastupljeni predmeti </w:t>
            </w:r>
            <w:r w:rsidRPr="005375A1">
              <w:rPr>
                <w:rFonts w:ascii="Calibri" w:hAnsi="Calibri"/>
                <w:i/>
                <w:sz w:val="22"/>
                <w:szCs w:val="22"/>
              </w:rPr>
              <w:t>Metodika nastave gitare, Rad sa ansamblom, Metodika nastave klavira i Kamerna muzika</w:t>
            </w:r>
            <w:r w:rsidRPr="005375A1">
              <w:rPr>
                <w:rFonts w:ascii="Calibri" w:hAnsi="Calibri"/>
                <w:sz w:val="22"/>
                <w:szCs w:val="22"/>
              </w:rPr>
              <w:t xml:space="preserve">. </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Na smeru Muzička pedagogija </w:t>
            </w:r>
            <w:r w:rsidR="0017552F">
              <w:rPr>
                <w:rFonts w:ascii="Calibri" w:hAnsi="Calibri"/>
                <w:sz w:val="22"/>
                <w:szCs w:val="22"/>
              </w:rPr>
              <w:t>Ustanova</w:t>
            </w:r>
            <w:r w:rsidRPr="005375A1">
              <w:rPr>
                <w:rFonts w:ascii="Calibri" w:hAnsi="Calibri"/>
                <w:sz w:val="22"/>
                <w:szCs w:val="22"/>
              </w:rPr>
              <w:t xml:space="preserve"> takođe predlaže tri grupe izbornih predmeta. Prva koju čine nastavni predmeti </w:t>
            </w:r>
            <w:r w:rsidRPr="005375A1">
              <w:rPr>
                <w:rFonts w:ascii="Calibri" w:hAnsi="Calibri"/>
                <w:i/>
                <w:sz w:val="22"/>
                <w:szCs w:val="22"/>
              </w:rPr>
              <w:t>Metodika nastave solfeđa i Metodika opšteg muzičkog obrazovanja</w:t>
            </w:r>
            <w:r w:rsidRPr="005375A1">
              <w:rPr>
                <w:rFonts w:ascii="Calibri" w:hAnsi="Calibri"/>
                <w:sz w:val="22"/>
                <w:szCs w:val="22"/>
              </w:rPr>
              <w:t xml:space="preserve"> (predmeti iz kojih će studenti pisati završni rad), drugu grupu izbornih predmeta čine </w:t>
            </w:r>
            <w:r w:rsidRPr="005375A1">
              <w:rPr>
                <w:rFonts w:ascii="Calibri" w:hAnsi="Calibri"/>
                <w:i/>
                <w:sz w:val="22"/>
                <w:szCs w:val="22"/>
              </w:rPr>
              <w:t xml:space="preserve">Osnovi orkestracije i Istorija umjetnosti </w:t>
            </w:r>
            <w:r w:rsidRPr="005375A1">
              <w:rPr>
                <w:rFonts w:ascii="Calibri" w:hAnsi="Calibri"/>
                <w:sz w:val="22"/>
                <w:szCs w:val="22"/>
              </w:rPr>
              <w:t xml:space="preserve">i treća grupa izbornih u kojoj su zastupljeni predmeti </w:t>
            </w:r>
            <w:r w:rsidRPr="005375A1">
              <w:rPr>
                <w:rFonts w:ascii="Calibri" w:hAnsi="Calibri"/>
                <w:i/>
                <w:sz w:val="22"/>
                <w:szCs w:val="22"/>
              </w:rPr>
              <w:t>Metodika nastave gitare, Rad sa ansamblom, Metodika nastave klavira i Kamerna muzika</w:t>
            </w:r>
            <w:r w:rsidRPr="005375A1">
              <w:rPr>
                <w:rFonts w:ascii="Calibri" w:hAnsi="Calibri"/>
                <w:sz w:val="22"/>
                <w:szCs w:val="22"/>
              </w:rPr>
              <w:t xml:space="preserve">. </w:t>
            </w:r>
          </w:p>
          <w:p w:rsidR="005375A1" w:rsidRPr="005375A1" w:rsidRDefault="007A1B17" w:rsidP="005375A1">
            <w:pPr>
              <w:jc w:val="both"/>
              <w:rPr>
                <w:rFonts w:ascii="Calibri" w:hAnsi="Calibri"/>
                <w:i/>
                <w:sz w:val="22"/>
                <w:szCs w:val="22"/>
              </w:rPr>
            </w:pPr>
            <w:r>
              <w:rPr>
                <w:rFonts w:ascii="Calibri" w:hAnsi="Calibri"/>
                <w:sz w:val="22"/>
                <w:szCs w:val="22"/>
              </w:rPr>
              <w:t>U</w:t>
            </w:r>
            <w:r w:rsidR="005375A1" w:rsidRPr="005375A1">
              <w:rPr>
                <w:rFonts w:ascii="Calibri" w:hAnsi="Calibri"/>
                <w:sz w:val="22"/>
                <w:szCs w:val="22"/>
              </w:rPr>
              <w:t xml:space="preserve"> izbornoj grupi 2 (u priloženom NP) nalazi se nastavni premet </w:t>
            </w:r>
            <w:r w:rsidR="005375A1" w:rsidRPr="005375A1">
              <w:rPr>
                <w:rFonts w:ascii="Calibri" w:hAnsi="Calibri"/>
                <w:i/>
                <w:sz w:val="22"/>
                <w:szCs w:val="22"/>
              </w:rPr>
              <w:t>Osnovi orkestracije</w:t>
            </w:r>
            <w:r w:rsidR="005375A1" w:rsidRPr="005375A1">
              <w:rPr>
                <w:rFonts w:ascii="Calibri" w:hAnsi="Calibri"/>
                <w:sz w:val="22"/>
                <w:szCs w:val="22"/>
              </w:rPr>
              <w:t xml:space="preserve">, a priložena je knjiga predmeta za </w:t>
            </w:r>
            <w:r w:rsidR="005375A1" w:rsidRPr="005375A1">
              <w:rPr>
                <w:rFonts w:ascii="Calibri" w:hAnsi="Calibri"/>
                <w:i/>
                <w:sz w:val="22"/>
                <w:szCs w:val="22"/>
              </w:rPr>
              <w:t>Osnove orkestracije 1</w:t>
            </w:r>
            <w:r w:rsidR="005375A1" w:rsidRPr="005375A1">
              <w:rPr>
                <w:rFonts w:ascii="Calibri" w:hAnsi="Calibri"/>
                <w:sz w:val="22"/>
                <w:szCs w:val="22"/>
              </w:rPr>
              <w:t xml:space="preserve"> (OAS), koja ima identičan sadržaj, ali se razlikuje od one priložene sa OAS po broju navedenih ESPB (u NP 3 ESPB, a u knjizi predmeta 2 ESPB). Ako je navedeni nastavni predmet bio izborni na OA</w:t>
            </w:r>
            <w:r>
              <w:rPr>
                <w:rFonts w:ascii="Calibri" w:hAnsi="Calibri"/>
                <w:sz w:val="22"/>
                <w:szCs w:val="22"/>
              </w:rPr>
              <w:t xml:space="preserve">S, nejasno je kako ga studenti </w:t>
            </w:r>
            <w:r w:rsidR="005375A1" w:rsidRPr="005375A1">
              <w:rPr>
                <w:rFonts w:ascii="Calibri" w:hAnsi="Calibri"/>
                <w:sz w:val="22"/>
                <w:szCs w:val="22"/>
              </w:rPr>
              <w:t xml:space="preserve">na MAS mogu izabrati, jer njegovo izučavanje na prethodnom nivou studija na osnovu priložene knjige predmeta ne predstavlja dalji nastavak učenja, već je u potpunosti identičan. Treća grupa izbornih na smerovima </w:t>
            </w:r>
            <w:r w:rsidR="005375A1" w:rsidRPr="005375A1">
              <w:rPr>
                <w:rFonts w:ascii="Calibri" w:hAnsi="Calibri"/>
                <w:i/>
                <w:sz w:val="22"/>
                <w:szCs w:val="22"/>
              </w:rPr>
              <w:t xml:space="preserve">Muzička teorija i Muzička pedagogija </w:t>
            </w:r>
            <w:r w:rsidR="005375A1" w:rsidRPr="005375A1">
              <w:rPr>
                <w:rFonts w:ascii="Calibri" w:hAnsi="Calibri"/>
                <w:sz w:val="22"/>
                <w:szCs w:val="22"/>
              </w:rPr>
              <w:t xml:space="preserve">u kojoj su zastupljeni predmeti </w:t>
            </w:r>
            <w:r w:rsidR="005375A1" w:rsidRPr="005375A1">
              <w:rPr>
                <w:rFonts w:ascii="Calibri" w:hAnsi="Calibri"/>
                <w:i/>
                <w:sz w:val="22"/>
                <w:szCs w:val="22"/>
              </w:rPr>
              <w:t xml:space="preserve">Metodika nastave gitare, Rad sa ansamblom, Metodika nastave klavira i Kamerna muzika, </w:t>
            </w:r>
            <w:r w:rsidR="005375A1" w:rsidRPr="005375A1">
              <w:rPr>
                <w:rFonts w:ascii="Calibri" w:hAnsi="Calibri"/>
                <w:sz w:val="22"/>
                <w:szCs w:val="22"/>
              </w:rPr>
              <w:t xml:space="preserve">ni po čemu ne odgovara navedenim smerovima. Ni jedan od ponuđenih nastavnih predmeta na ovom nivou studija, a bez prethodnog izučavanja istih, studenti </w:t>
            </w:r>
            <w:r w:rsidR="005375A1" w:rsidRPr="005375A1">
              <w:rPr>
                <w:rFonts w:ascii="Calibri" w:hAnsi="Calibri"/>
                <w:i/>
                <w:sz w:val="22"/>
                <w:szCs w:val="22"/>
              </w:rPr>
              <w:t xml:space="preserve">Muzičke teorije i Muzičke pedagogije </w:t>
            </w:r>
            <w:r w:rsidR="005375A1" w:rsidRPr="005375A1">
              <w:rPr>
                <w:rFonts w:ascii="Calibri" w:hAnsi="Calibri"/>
                <w:sz w:val="22"/>
                <w:szCs w:val="22"/>
              </w:rPr>
              <w:t xml:space="preserve">neće moći da savladaju na način na koji je to u sadržajima knjiga predmeta predviđeno. </w:t>
            </w:r>
            <w:r>
              <w:rPr>
                <w:rFonts w:ascii="Calibri" w:hAnsi="Calibri"/>
                <w:sz w:val="22"/>
                <w:szCs w:val="22"/>
              </w:rPr>
              <w:t>Svi silabusi</w:t>
            </w:r>
            <w:r w:rsidR="005375A1" w:rsidRPr="005375A1">
              <w:rPr>
                <w:rFonts w:ascii="Calibri" w:hAnsi="Calibri"/>
                <w:sz w:val="22"/>
                <w:szCs w:val="22"/>
              </w:rPr>
              <w:t xml:space="preserve"> u ovoj izbornoj grupi preuzeti su sa smera </w:t>
            </w:r>
            <w:r w:rsidR="005375A1" w:rsidRPr="005375A1">
              <w:rPr>
                <w:rFonts w:ascii="Calibri" w:hAnsi="Calibri"/>
                <w:i/>
                <w:sz w:val="22"/>
                <w:szCs w:val="22"/>
              </w:rPr>
              <w:t>Izvođačke umetnosti.</w:t>
            </w:r>
          </w:p>
          <w:p w:rsidR="005375A1" w:rsidRPr="005375A1" w:rsidRDefault="005375A1" w:rsidP="005375A1">
            <w:pPr>
              <w:jc w:val="both"/>
              <w:rPr>
                <w:rFonts w:ascii="Calibri" w:hAnsi="Calibri"/>
                <w:sz w:val="22"/>
                <w:szCs w:val="22"/>
              </w:rPr>
            </w:pPr>
            <w:r w:rsidRPr="005375A1">
              <w:rPr>
                <w:rFonts w:ascii="Calibri" w:hAnsi="Calibri"/>
                <w:sz w:val="22"/>
                <w:szCs w:val="22"/>
              </w:rPr>
              <w:t>Načini provere i vrednovanja kontinuiranog sticanja znanja studenta, bodovna ECTS vrednost nije usklađen sa stvarnim opterećenjem studenata prikazanim kroz broj časova aktivne nastave.</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Nastavnim planom na smeru </w:t>
            </w:r>
            <w:r w:rsidRPr="005375A1">
              <w:rPr>
                <w:rFonts w:ascii="Calibri" w:hAnsi="Calibri"/>
                <w:i/>
                <w:sz w:val="22"/>
                <w:szCs w:val="22"/>
              </w:rPr>
              <w:t xml:space="preserve">Izvođačke umetnosti </w:t>
            </w:r>
            <w:r w:rsidRPr="005375A1">
              <w:rPr>
                <w:rFonts w:ascii="Calibri" w:hAnsi="Calibri"/>
                <w:sz w:val="22"/>
                <w:szCs w:val="22"/>
              </w:rPr>
              <w:t xml:space="preserve">predviđena je nastava hora u prvom semestru – Hor 1 sa 2 </w:t>
            </w:r>
            <w:r w:rsidRPr="005375A1">
              <w:rPr>
                <w:rFonts w:ascii="Calibri" w:hAnsi="Calibri"/>
                <w:sz w:val="22"/>
                <w:szCs w:val="22"/>
              </w:rPr>
              <w:lastRenderedPageBreak/>
              <w:t xml:space="preserve">časa aktivne nastave i 7 ESPBodova, dok je nastavni predmet </w:t>
            </w:r>
            <w:r w:rsidRPr="005375A1">
              <w:rPr>
                <w:rFonts w:ascii="Calibri" w:hAnsi="Calibri"/>
                <w:i/>
                <w:sz w:val="22"/>
                <w:szCs w:val="22"/>
              </w:rPr>
              <w:t xml:space="preserve">Rad sa ansamblom </w:t>
            </w:r>
            <w:r w:rsidRPr="005375A1">
              <w:rPr>
                <w:rFonts w:ascii="Calibri" w:hAnsi="Calibri"/>
                <w:sz w:val="22"/>
                <w:szCs w:val="22"/>
              </w:rPr>
              <w:t xml:space="preserve">na ovom smeru predviđen sa 2+2 časa aktivne nastave i 5 ESPB. U sadržaju predmeta </w:t>
            </w:r>
            <w:r w:rsidRPr="005375A1">
              <w:rPr>
                <w:rFonts w:ascii="Calibri" w:hAnsi="Calibri"/>
                <w:i/>
                <w:sz w:val="22"/>
                <w:szCs w:val="22"/>
              </w:rPr>
              <w:t xml:space="preserve">Rad sa ansamblom </w:t>
            </w:r>
            <w:r w:rsidRPr="005375A1">
              <w:rPr>
                <w:rFonts w:ascii="Calibri" w:hAnsi="Calibri"/>
                <w:sz w:val="22"/>
                <w:szCs w:val="22"/>
              </w:rPr>
              <w:t>je navedeno da</w:t>
            </w:r>
            <w:r w:rsidR="007A1B17">
              <w:rPr>
                <w:rFonts w:ascii="Calibri" w:hAnsi="Calibri"/>
                <w:sz w:val="22"/>
                <w:szCs w:val="22"/>
              </w:rPr>
              <w:t xml:space="preserve"> je predmet dvosemestralan, a uvidom u NP </w:t>
            </w:r>
            <w:r w:rsidRPr="005375A1">
              <w:rPr>
                <w:rFonts w:ascii="Calibri" w:hAnsi="Calibri"/>
                <w:sz w:val="22"/>
                <w:szCs w:val="22"/>
              </w:rPr>
              <w:t xml:space="preserve">je moguće utvrditi da je zastupljen samo u drugom semestru. Važno je da </w:t>
            </w:r>
            <w:r w:rsidR="0017552F">
              <w:rPr>
                <w:rFonts w:ascii="Calibri" w:hAnsi="Calibri"/>
                <w:sz w:val="22"/>
                <w:szCs w:val="22"/>
              </w:rPr>
              <w:t>Ustanova</w:t>
            </w:r>
            <w:r w:rsidRPr="005375A1">
              <w:rPr>
                <w:rFonts w:ascii="Calibri" w:hAnsi="Calibri"/>
                <w:sz w:val="22"/>
                <w:szCs w:val="22"/>
              </w:rPr>
              <w:t xml:space="preserve"> pažljivo sagleda da li je realna potreba da studenatima na smeru </w:t>
            </w:r>
            <w:r w:rsidRPr="005375A1">
              <w:rPr>
                <w:rFonts w:ascii="Calibri" w:hAnsi="Calibri"/>
                <w:i/>
                <w:sz w:val="22"/>
                <w:szCs w:val="22"/>
              </w:rPr>
              <w:t xml:space="preserve">Izvođačke umetnosti </w:t>
            </w:r>
            <w:r w:rsidRPr="005375A1">
              <w:rPr>
                <w:rFonts w:ascii="Calibri" w:hAnsi="Calibri"/>
                <w:sz w:val="22"/>
                <w:szCs w:val="22"/>
              </w:rPr>
              <w:t xml:space="preserve">obavezan predmet bude Hor, a ne Orkestar koji je u potpunosti izostavljen iz NP. </w:t>
            </w:r>
          </w:p>
          <w:p w:rsidR="00C743B7" w:rsidRDefault="005375A1" w:rsidP="005375A1">
            <w:pPr>
              <w:jc w:val="both"/>
              <w:rPr>
                <w:rFonts w:ascii="Calibri" w:hAnsi="Calibri"/>
                <w:sz w:val="22"/>
                <w:szCs w:val="22"/>
              </w:rPr>
            </w:pPr>
            <w:r w:rsidRPr="005375A1">
              <w:rPr>
                <w:rFonts w:ascii="Calibri" w:hAnsi="Calibri"/>
                <w:sz w:val="22"/>
                <w:szCs w:val="22"/>
              </w:rPr>
              <w:t xml:space="preserve">Nastavnim planom na smeru </w:t>
            </w:r>
            <w:r w:rsidRPr="005375A1">
              <w:rPr>
                <w:rFonts w:ascii="Calibri" w:hAnsi="Calibri"/>
                <w:i/>
                <w:sz w:val="22"/>
                <w:szCs w:val="22"/>
              </w:rPr>
              <w:t xml:space="preserve">Izvođačke umetnosti </w:t>
            </w:r>
            <w:r w:rsidRPr="005375A1">
              <w:rPr>
                <w:rFonts w:ascii="Calibri" w:hAnsi="Calibri"/>
                <w:sz w:val="22"/>
                <w:szCs w:val="22"/>
              </w:rPr>
              <w:t>predviđena je nastava glavnog pr</w:t>
            </w:r>
            <w:r w:rsidR="007A1B17">
              <w:rPr>
                <w:rFonts w:ascii="Calibri" w:hAnsi="Calibri"/>
                <w:sz w:val="22"/>
                <w:szCs w:val="22"/>
              </w:rPr>
              <w:t>edmeta (izabranog instrumenta)</w:t>
            </w:r>
            <w:r w:rsidR="00C743B7">
              <w:rPr>
                <w:rFonts w:ascii="Calibri" w:hAnsi="Calibri"/>
                <w:sz w:val="22"/>
                <w:szCs w:val="22"/>
              </w:rPr>
              <w:t xml:space="preserve">. Kako je </w:t>
            </w:r>
            <w:r w:rsidR="0017552F">
              <w:rPr>
                <w:rFonts w:ascii="Calibri" w:hAnsi="Calibri"/>
                <w:sz w:val="22"/>
                <w:szCs w:val="22"/>
              </w:rPr>
              <w:t>Ustanova</w:t>
            </w:r>
            <w:r w:rsidR="00C743B7">
              <w:rPr>
                <w:rFonts w:ascii="Calibri" w:hAnsi="Calibri"/>
                <w:sz w:val="22"/>
                <w:szCs w:val="22"/>
              </w:rPr>
              <w:t xml:space="preserve"> NP predvidela da</w:t>
            </w:r>
            <w:r w:rsidR="007A1B17">
              <w:rPr>
                <w:rFonts w:ascii="Calibri" w:hAnsi="Calibri"/>
                <w:sz w:val="22"/>
                <w:szCs w:val="22"/>
              </w:rPr>
              <w:t xml:space="preserve"> </w:t>
            </w:r>
            <w:r w:rsidR="00C743B7">
              <w:rPr>
                <w:rFonts w:ascii="Calibri" w:hAnsi="Calibri"/>
                <w:sz w:val="22"/>
                <w:szCs w:val="22"/>
              </w:rPr>
              <w:t xml:space="preserve">navedeni </w:t>
            </w:r>
            <w:r w:rsidRPr="005375A1">
              <w:rPr>
                <w:rFonts w:ascii="Calibri" w:hAnsi="Calibri"/>
                <w:sz w:val="22"/>
                <w:szCs w:val="22"/>
              </w:rPr>
              <w:t>nastavni predmet</w:t>
            </w:r>
            <w:r w:rsidR="00C743B7">
              <w:rPr>
                <w:rFonts w:ascii="Calibri" w:hAnsi="Calibri"/>
                <w:sz w:val="22"/>
                <w:szCs w:val="22"/>
              </w:rPr>
              <w:t xml:space="preserve"> bude</w:t>
            </w:r>
            <w:r w:rsidRPr="005375A1">
              <w:rPr>
                <w:rFonts w:ascii="Calibri" w:hAnsi="Calibri"/>
                <w:sz w:val="22"/>
                <w:szCs w:val="22"/>
              </w:rPr>
              <w:t xml:space="preserve"> jednosemestralan, </w:t>
            </w:r>
            <w:r w:rsidR="00C743B7">
              <w:rPr>
                <w:rFonts w:ascii="Calibri" w:hAnsi="Calibri"/>
                <w:sz w:val="22"/>
                <w:szCs w:val="22"/>
              </w:rPr>
              <w:t>tako je bilo neophodno priložiti</w:t>
            </w:r>
            <w:r w:rsidR="00E31553">
              <w:rPr>
                <w:rFonts w:ascii="Calibri" w:hAnsi="Calibri"/>
                <w:sz w:val="22"/>
                <w:szCs w:val="22"/>
              </w:rPr>
              <w:t xml:space="preserve"> i</w:t>
            </w:r>
            <w:r w:rsidR="007A1B17">
              <w:rPr>
                <w:rFonts w:ascii="Calibri" w:hAnsi="Calibri"/>
                <w:sz w:val="22"/>
                <w:szCs w:val="22"/>
              </w:rPr>
              <w:t xml:space="preserve"> zasebne knjiige predmeta kako za letnji, tako i za zimski semestar</w:t>
            </w:r>
            <w:r w:rsidR="00C743B7">
              <w:rPr>
                <w:rFonts w:ascii="Calibri" w:hAnsi="Calibri"/>
                <w:sz w:val="22"/>
                <w:szCs w:val="22"/>
              </w:rPr>
              <w:t>.</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Na SP Muzika MAS – </w:t>
            </w:r>
            <w:r w:rsidRPr="005375A1">
              <w:rPr>
                <w:rFonts w:ascii="Calibri" w:hAnsi="Calibri"/>
                <w:i/>
                <w:sz w:val="22"/>
                <w:szCs w:val="22"/>
              </w:rPr>
              <w:t xml:space="preserve">Izvođačke umetnosti </w:t>
            </w:r>
            <w:r w:rsidRPr="005375A1">
              <w:rPr>
                <w:rFonts w:ascii="Calibri" w:hAnsi="Calibri"/>
                <w:sz w:val="22"/>
                <w:szCs w:val="22"/>
              </w:rPr>
              <w:t xml:space="preserve">predviđen planom je i nastavni premet </w:t>
            </w:r>
            <w:r w:rsidRPr="005375A1">
              <w:rPr>
                <w:rFonts w:ascii="Calibri" w:hAnsi="Calibri"/>
                <w:i/>
                <w:sz w:val="22"/>
                <w:szCs w:val="22"/>
              </w:rPr>
              <w:t>Metodologija naučno-istraživačkog rada</w:t>
            </w:r>
            <w:r w:rsidRPr="005375A1">
              <w:rPr>
                <w:rFonts w:ascii="Calibri" w:hAnsi="Calibri"/>
                <w:sz w:val="22"/>
                <w:szCs w:val="22"/>
              </w:rPr>
              <w:t xml:space="preserve">, koji se svojim sadržajem ni po čemu ne razlikuje od onog koji se izučava na MAS smerovima </w:t>
            </w:r>
            <w:r w:rsidRPr="005375A1">
              <w:rPr>
                <w:rFonts w:ascii="Calibri" w:hAnsi="Calibri"/>
                <w:i/>
                <w:sz w:val="22"/>
                <w:szCs w:val="22"/>
              </w:rPr>
              <w:t xml:space="preserve">Muzička teorija </w:t>
            </w:r>
            <w:r w:rsidRPr="005375A1">
              <w:rPr>
                <w:rFonts w:ascii="Calibri" w:hAnsi="Calibri"/>
                <w:sz w:val="22"/>
                <w:szCs w:val="22"/>
              </w:rPr>
              <w:t xml:space="preserve">i </w:t>
            </w:r>
            <w:r w:rsidRPr="005375A1">
              <w:rPr>
                <w:rFonts w:ascii="Calibri" w:hAnsi="Calibri"/>
                <w:i/>
                <w:sz w:val="22"/>
                <w:szCs w:val="22"/>
              </w:rPr>
              <w:t xml:space="preserve">Muzička pedagogija. </w:t>
            </w:r>
            <w:r w:rsidRPr="005375A1">
              <w:rPr>
                <w:rFonts w:ascii="Calibri" w:hAnsi="Calibri"/>
                <w:sz w:val="22"/>
                <w:szCs w:val="22"/>
              </w:rPr>
              <w:t xml:space="preserve">Kako je nastava na ovom nastavnom predmetu jednosemestralna, a sadržaji prilagođeni studentima smerova </w:t>
            </w:r>
            <w:r w:rsidRPr="005375A1">
              <w:rPr>
                <w:rFonts w:ascii="Calibri" w:hAnsi="Calibri"/>
                <w:i/>
                <w:sz w:val="22"/>
                <w:szCs w:val="22"/>
              </w:rPr>
              <w:t xml:space="preserve">Muzička teorija </w:t>
            </w:r>
            <w:r w:rsidRPr="005375A1">
              <w:rPr>
                <w:rFonts w:ascii="Calibri" w:hAnsi="Calibri"/>
                <w:sz w:val="22"/>
                <w:szCs w:val="22"/>
              </w:rPr>
              <w:t xml:space="preserve">i </w:t>
            </w:r>
            <w:r w:rsidRPr="005375A1">
              <w:rPr>
                <w:rFonts w:ascii="Calibri" w:hAnsi="Calibri"/>
                <w:i/>
                <w:sz w:val="22"/>
                <w:szCs w:val="22"/>
              </w:rPr>
              <w:t>Muzička pedagogija</w:t>
            </w:r>
            <w:r w:rsidRPr="005375A1">
              <w:rPr>
                <w:rFonts w:ascii="Calibri" w:hAnsi="Calibri"/>
                <w:sz w:val="22"/>
                <w:szCs w:val="22"/>
              </w:rPr>
              <w:t xml:space="preserve"> koji će i pisati završni rad na MAS, postavlja se pitanje da li je navedeni predmet neophodan na smeru </w:t>
            </w:r>
            <w:r w:rsidRPr="005375A1">
              <w:rPr>
                <w:rFonts w:ascii="Calibri" w:hAnsi="Calibri"/>
                <w:i/>
                <w:sz w:val="22"/>
                <w:szCs w:val="22"/>
              </w:rPr>
              <w:t>Izvođačke umetnosti</w:t>
            </w:r>
            <w:r w:rsidRPr="005375A1">
              <w:rPr>
                <w:rFonts w:ascii="Calibri" w:hAnsi="Calibri"/>
                <w:sz w:val="22"/>
                <w:szCs w:val="22"/>
              </w:rPr>
              <w:t xml:space="preserve"> studentima koji za završni rad imaju resital („u trajanju od 45 minuta”), a ne pisani rad kao studenti muzičke teorije i muzičke pedagogije.</w:t>
            </w:r>
          </w:p>
          <w:p w:rsidR="005375A1" w:rsidRPr="005375A1" w:rsidRDefault="005375A1" w:rsidP="005375A1">
            <w:pPr>
              <w:jc w:val="both"/>
              <w:rPr>
                <w:rFonts w:ascii="Calibri" w:hAnsi="Calibri"/>
                <w:sz w:val="22"/>
                <w:szCs w:val="22"/>
              </w:rPr>
            </w:pPr>
            <w:r w:rsidRPr="005375A1">
              <w:rPr>
                <w:rFonts w:ascii="Calibri" w:hAnsi="Calibri"/>
                <w:sz w:val="22"/>
                <w:szCs w:val="22"/>
              </w:rPr>
              <w:t xml:space="preserve">U cilju jačanja pedagoško, psiholoških i metodičkih kompetencija studenata, a imajući u vidu da su studentima navedenog SP </w:t>
            </w:r>
            <w:r w:rsidRPr="005375A1">
              <w:rPr>
                <w:rFonts w:ascii="Calibri" w:hAnsi="Calibri"/>
                <w:i/>
                <w:sz w:val="22"/>
                <w:szCs w:val="22"/>
              </w:rPr>
              <w:t>Muzika</w:t>
            </w:r>
            <w:r w:rsidRPr="005375A1">
              <w:rPr>
                <w:rFonts w:ascii="Calibri" w:hAnsi="Calibri"/>
                <w:sz w:val="22"/>
                <w:szCs w:val="22"/>
              </w:rPr>
              <w:t xml:space="preserve"> na OAS nisu ponuđeni u dovoljnoj meri predmeti iz navedenih oblasti, potrebno je da </w:t>
            </w:r>
            <w:r w:rsidR="0017552F">
              <w:rPr>
                <w:rFonts w:ascii="Calibri" w:hAnsi="Calibri"/>
                <w:sz w:val="22"/>
                <w:szCs w:val="22"/>
              </w:rPr>
              <w:t>Ustanova</w:t>
            </w:r>
            <w:r w:rsidRPr="005375A1">
              <w:rPr>
                <w:rFonts w:ascii="Calibri" w:hAnsi="Calibri"/>
                <w:sz w:val="22"/>
                <w:szCs w:val="22"/>
              </w:rPr>
              <w:t xml:space="preserve"> na MAS u kurikulumu obezbedi odgovarajuće predmete u skladu sa nazivom i izlaznim komepetencijama.</w:t>
            </w:r>
          </w:p>
          <w:p w:rsidR="005375A1" w:rsidRPr="005375A1" w:rsidRDefault="00E31553" w:rsidP="005375A1">
            <w:pPr>
              <w:jc w:val="both"/>
              <w:rPr>
                <w:rFonts w:ascii="Calibri" w:hAnsi="Calibri"/>
                <w:sz w:val="22"/>
                <w:szCs w:val="22"/>
              </w:rPr>
            </w:pPr>
            <w:r>
              <w:rPr>
                <w:rFonts w:ascii="Calibri" w:hAnsi="Calibri"/>
                <w:sz w:val="22"/>
                <w:szCs w:val="22"/>
              </w:rPr>
              <w:t>Izosatanak</w:t>
            </w:r>
            <w:r w:rsidR="005375A1" w:rsidRPr="005375A1">
              <w:rPr>
                <w:rFonts w:ascii="Calibri" w:hAnsi="Calibri"/>
                <w:sz w:val="22"/>
                <w:szCs w:val="22"/>
              </w:rPr>
              <w:t xml:space="preserve"> metodike nastave instrumenta, orkestra i stručne prakse na MAS smeru </w:t>
            </w:r>
            <w:r w:rsidR="005375A1" w:rsidRPr="005375A1">
              <w:rPr>
                <w:rFonts w:ascii="Calibri" w:hAnsi="Calibri"/>
                <w:i/>
                <w:sz w:val="22"/>
                <w:szCs w:val="22"/>
              </w:rPr>
              <w:t>Izvođačke umetnosti</w:t>
            </w:r>
            <w:r w:rsidR="005375A1" w:rsidRPr="005375A1">
              <w:rPr>
                <w:rFonts w:ascii="Calibri" w:hAnsi="Calibri"/>
                <w:sz w:val="22"/>
                <w:szCs w:val="22"/>
              </w:rPr>
              <w:t xml:space="preserve"> stvara određene nejasnoće. Postavlja se pitanje da li će studenti steći odgovarajuće komepetencije za rad u svim obrazovnim institucijama i orkestrima, kao što </w:t>
            </w:r>
            <w:r w:rsidR="0017552F">
              <w:rPr>
                <w:rFonts w:ascii="Calibri" w:hAnsi="Calibri"/>
                <w:sz w:val="22"/>
                <w:szCs w:val="22"/>
              </w:rPr>
              <w:t>Ustanova</w:t>
            </w:r>
            <w:r w:rsidR="005375A1" w:rsidRPr="005375A1">
              <w:rPr>
                <w:rFonts w:ascii="Calibri" w:hAnsi="Calibri"/>
                <w:sz w:val="22"/>
                <w:szCs w:val="22"/>
              </w:rPr>
              <w:t xml:space="preserve"> navodi.</w:t>
            </w:r>
          </w:p>
          <w:p w:rsidR="007452A1" w:rsidRDefault="005375A1" w:rsidP="005375A1">
            <w:pPr>
              <w:jc w:val="both"/>
            </w:pPr>
            <w:r w:rsidRPr="005375A1">
              <w:rPr>
                <w:rFonts w:ascii="Calibri" w:hAnsi="Calibri"/>
                <w:sz w:val="22"/>
                <w:szCs w:val="22"/>
              </w:rPr>
              <w:t xml:space="preserve">U pojedinim knjigama predmeta (za nastavni predmet Završni rad) na SP Muzika </w:t>
            </w:r>
            <w:r w:rsidRPr="005375A1">
              <w:rPr>
                <w:rFonts w:ascii="Calibri" w:hAnsi="Calibri"/>
                <w:i/>
                <w:sz w:val="22"/>
                <w:szCs w:val="22"/>
              </w:rPr>
              <w:t>Izvođačke umetnosti</w:t>
            </w:r>
            <w:r w:rsidRPr="005375A1">
              <w:rPr>
                <w:rFonts w:ascii="Calibri" w:hAnsi="Calibri"/>
                <w:sz w:val="22"/>
                <w:szCs w:val="22"/>
              </w:rPr>
              <w:t xml:space="preserve"> izostalo je navođenje ispitnih zahteva. Za više predmeta (naročito izbornih) izostavljeni su uslovi za upis. </w:t>
            </w:r>
          </w:p>
          <w:p w:rsidR="007452A1" w:rsidRDefault="006678CF">
            <w:pPr>
              <w:spacing w:after="0"/>
              <w:jc w:val="both"/>
            </w:pPr>
            <w:r>
              <w:rPr>
                <w:rStyle w:val="CALIBRI11"/>
              </w:rPr>
              <w:t xml:space="preserve">Način učešća studenata u naučno-istraživačkom radu nije definisan </w:t>
            </w:r>
          </w:p>
          <w:p w:rsidR="007452A1" w:rsidRDefault="006678CF">
            <w:pPr>
              <w:spacing w:after="0"/>
              <w:jc w:val="both"/>
            </w:pPr>
            <w:r>
              <w:rPr>
                <w:rStyle w:val="CALIBRI11"/>
              </w:rPr>
              <w:t xml:space="preserve">Nije jasno zašto je na SP </w:t>
            </w:r>
            <w:r w:rsidR="00E31553">
              <w:rPr>
                <w:rStyle w:val="CALIBRI11"/>
              </w:rPr>
              <w:t xml:space="preserve">MAS </w:t>
            </w:r>
            <w:r>
              <w:rPr>
                <w:rStyle w:val="CALIBRI11"/>
              </w:rPr>
              <w:t xml:space="preserve">Muzika izvođenje praktične nastave i organizovanje prakse za studente izostalo, iako je navedeno da ugovori koje visokoškolska </w:t>
            </w:r>
            <w:r w:rsidR="0017552F">
              <w:rPr>
                <w:rStyle w:val="CALIBRI11"/>
              </w:rPr>
              <w:t>Ustanova</w:t>
            </w:r>
            <w:r>
              <w:rPr>
                <w:rStyle w:val="CALIBRI11"/>
              </w:rPr>
              <w:t xml:space="preserve"> ima sklopljene sa različitim institucijama za izvođenje praktične nastave obezbeđuju organizovanja prakse za studente </w:t>
            </w:r>
          </w:p>
          <w:p w:rsidR="007452A1" w:rsidRDefault="007452A1">
            <w:pPr>
              <w:spacing w:after="0"/>
              <w:jc w:val="both"/>
            </w:pPr>
          </w:p>
          <w:p w:rsidR="007452A1" w:rsidRDefault="006678CF">
            <w:pPr>
              <w:spacing w:after="0"/>
              <w:jc w:val="both"/>
            </w:pPr>
            <w:r>
              <w:rPr>
                <w:rStyle w:val="CALIBRI11"/>
              </w:rPr>
              <w:t>Broj stečenih bodova na predmetima nije usaglašen sa stvarnim opterećenjem studenata</w:t>
            </w:r>
          </w:p>
          <w:p w:rsidR="007452A1" w:rsidRDefault="006678CF">
            <w:pPr>
              <w:spacing w:after="0"/>
              <w:jc w:val="both"/>
            </w:pPr>
            <w:r>
              <w:rPr>
                <w:rStyle w:val="CALIBRI11"/>
              </w:rPr>
              <w:t>Broj bodova koji se stiče u okviru predmeta nije kod svih predmeta ravnomerno je raspoređen na predispitne i ispitne aktivnosti</w:t>
            </w:r>
          </w:p>
          <w:p w:rsidR="007452A1" w:rsidRDefault="007452A1">
            <w:pPr>
              <w:spacing w:after="0"/>
              <w:jc w:val="both"/>
            </w:pPr>
          </w:p>
          <w:p w:rsidR="007452A1" w:rsidRDefault="006678CF">
            <w:pPr>
              <w:spacing w:after="0"/>
              <w:jc w:val="both"/>
            </w:pPr>
            <w:r>
              <w:rPr>
                <w:rStyle w:val="CALIBRI11"/>
              </w:rPr>
              <w:t>Završni radovi nisu podvrguti proveri s ciljem onemogućavanja plagiranja.</w:t>
            </w:r>
          </w:p>
          <w:p w:rsidR="007452A1" w:rsidRDefault="007452A1">
            <w:pPr>
              <w:spacing w:after="0"/>
              <w:jc w:val="both"/>
            </w:pPr>
          </w:p>
          <w:p w:rsidR="007452A1" w:rsidRDefault="006678CF">
            <w:pPr>
              <w:spacing w:after="0"/>
              <w:jc w:val="both"/>
            </w:pPr>
            <w:r>
              <w:rPr>
                <w:rStyle w:val="CALIBRIBOLD11"/>
              </w:rPr>
              <w:t>B.3 Učenje, podučavanje i ocjenjivanje usmjereno ka studentu</w:t>
            </w:r>
          </w:p>
          <w:p w:rsidR="007452A1" w:rsidRDefault="007452A1">
            <w:pPr>
              <w:spacing w:after="0"/>
              <w:jc w:val="both"/>
            </w:pPr>
          </w:p>
          <w:p w:rsidR="003C3E66" w:rsidRDefault="003C3E66" w:rsidP="003C3E66">
            <w:pPr>
              <w:spacing w:after="0"/>
              <w:jc w:val="both"/>
              <w:rPr>
                <w:rStyle w:val="CALIBRI11"/>
              </w:rPr>
            </w:pPr>
            <w:r>
              <w:rPr>
                <w:rStyle w:val="CALIBRI11"/>
              </w:rPr>
              <w:t>S</w:t>
            </w:r>
            <w:r w:rsidRPr="003C3E66">
              <w:rPr>
                <w:rStyle w:val="CALIBRI11"/>
              </w:rPr>
              <w:t xml:space="preserve">tudentske ankete </w:t>
            </w:r>
            <w:r>
              <w:rPr>
                <w:rStyle w:val="CALIBRI11"/>
              </w:rPr>
              <w:t xml:space="preserve">ne pružaju </w:t>
            </w:r>
            <w:r w:rsidRPr="003C3E66">
              <w:rPr>
                <w:rStyle w:val="CALIBRI11"/>
              </w:rPr>
              <w:t>mogućnost</w:t>
            </w:r>
            <w:r>
              <w:rPr>
                <w:rStyle w:val="CALIBRI11"/>
              </w:rPr>
              <w:t xml:space="preserve"> studentima da </w:t>
            </w:r>
            <w:r w:rsidRPr="003C3E66">
              <w:rPr>
                <w:rStyle w:val="CALIBRI11"/>
              </w:rPr>
              <w:t>izraz</w:t>
            </w:r>
            <w:r>
              <w:rPr>
                <w:rStyle w:val="CALIBRI11"/>
              </w:rPr>
              <w:t>e</w:t>
            </w:r>
            <w:r w:rsidRPr="003C3E66">
              <w:rPr>
                <w:rStyle w:val="CALIBRI11"/>
              </w:rPr>
              <w:t xml:space="preserve"> svoj stav jer se anketa </w:t>
            </w:r>
            <w:r>
              <w:rPr>
                <w:rStyle w:val="CALIBRI11"/>
              </w:rPr>
              <w:t>s</w:t>
            </w:r>
            <w:r w:rsidRPr="003C3E66">
              <w:rPr>
                <w:rStyle w:val="CALIBRI11"/>
              </w:rPr>
              <w:t xml:space="preserve">provodi delimično </w:t>
            </w:r>
            <w:r>
              <w:rPr>
                <w:rStyle w:val="CALIBRI11"/>
              </w:rPr>
              <w:t xml:space="preserve">zbog </w:t>
            </w:r>
            <w:r w:rsidRPr="003C3E66">
              <w:rPr>
                <w:rStyle w:val="CALIBRI11"/>
              </w:rPr>
              <w:lastRenderedPageBreak/>
              <w:t>specifične individualne nastve i malih</w:t>
            </w:r>
            <w:r>
              <w:rPr>
                <w:rStyle w:val="CALIBRI11"/>
              </w:rPr>
              <w:t xml:space="preserve"> grupa</w:t>
            </w:r>
            <w:r w:rsidRPr="003C3E66">
              <w:rPr>
                <w:rStyle w:val="CALIBRI11"/>
              </w:rPr>
              <w:t xml:space="preserve"> </w:t>
            </w:r>
            <w:r>
              <w:rPr>
                <w:rStyle w:val="CALIBRI11"/>
              </w:rPr>
              <w:t>studenata.</w:t>
            </w:r>
          </w:p>
          <w:p w:rsidR="007452A1" w:rsidRDefault="006678CF">
            <w:pPr>
              <w:spacing w:after="0"/>
              <w:jc w:val="both"/>
              <w:rPr>
                <w:rStyle w:val="CALIBRI11"/>
              </w:rPr>
            </w:pPr>
            <w:r>
              <w:rPr>
                <w:rStyle w:val="CALIBRI11"/>
              </w:rPr>
              <w:t>Nije dostupan dokaz da studenti zaista prisustvuju nastavi i vežbama.</w:t>
            </w:r>
          </w:p>
          <w:p w:rsidR="007452A1" w:rsidRPr="00E31553" w:rsidRDefault="007452A1">
            <w:pPr>
              <w:spacing w:after="0"/>
              <w:jc w:val="both"/>
            </w:pPr>
          </w:p>
          <w:p w:rsidR="007452A1" w:rsidRDefault="006678CF">
            <w:pPr>
              <w:spacing w:after="0"/>
              <w:jc w:val="both"/>
            </w:pPr>
            <w:r>
              <w:rPr>
                <w:rStyle w:val="CALIBRIBOLD11"/>
              </w:rPr>
              <w:t xml:space="preserve">B.4 Upis i napredovanje studenata, priznavanje i sertifikacija   </w:t>
            </w:r>
          </w:p>
          <w:p w:rsidR="007452A1" w:rsidRDefault="007452A1">
            <w:pPr>
              <w:spacing w:after="0"/>
              <w:jc w:val="both"/>
            </w:pPr>
          </w:p>
          <w:p w:rsidR="007452A1" w:rsidRDefault="006678CF">
            <w:pPr>
              <w:spacing w:after="0"/>
              <w:jc w:val="both"/>
            </w:pPr>
            <w:r>
              <w:rPr>
                <w:rStyle w:val="CALIBRI11"/>
              </w:rPr>
              <w:t>Ne postoji podatak o mobilnosti akademskog osoblja i studenata SP Muzika.</w:t>
            </w:r>
          </w:p>
          <w:p w:rsidR="007452A1" w:rsidRDefault="006678CF">
            <w:pPr>
              <w:spacing w:after="0"/>
              <w:jc w:val="both"/>
            </w:pPr>
            <w:r>
              <w:rPr>
                <w:rStyle w:val="CALIBRI11"/>
              </w:rPr>
              <w:t xml:space="preserve">Među pristiglom dokumentacijom nije dostavljen godišnji izvještaj Univerziteta o mobilnosti akademskog osoblja i studenata SP </w:t>
            </w:r>
            <w:r w:rsidR="003C3E66">
              <w:rPr>
                <w:rStyle w:val="CALIBRI11"/>
              </w:rPr>
              <w:t xml:space="preserve">MAS </w:t>
            </w:r>
            <w:r>
              <w:rPr>
                <w:rStyle w:val="CALIBRI11"/>
              </w:rPr>
              <w:t>Muzika.</w:t>
            </w:r>
          </w:p>
          <w:p w:rsidR="007452A1" w:rsidRDefault="007452A1">
            <w:pPr>
              <w:spacing w:after="0"/>
              <w:jc w:val="both"/>
            </w:pPr>
          </w:p>
          <w:p w:rsidR="007452A1" w:rsidRDefault="006678CF">
            <w:pPr>
              <w:spacing w:after="0"/>
              <w:jc w:val="both"/>
            </w:pPr>
            <w:r>
              <w:rPr>
                <w:rStyle w:val="CALIBRIBOLD11"/>
              </w:rPr>
              <w:t>B.5 Nastavno osoblje</w:t>
            </w:r>
          </w:p>
          <w:p w:rsidR="007452A1" w:rsidRDefault="007452A1">
            <w:pPr>
              <w:spacing w:after="0"/>
              <w:jc w:val="both"/>
            </w:pPr>
          </w:p>
          <w:p w:rsidR="007452A1" w:rsidRDefault="006678CF">
            <w:pPr>
              <w:spacing w:after="0"/>
              <w:jc w:val="both"/>
            </w:pPr>
            <w:r>
              <w:rPr>
                <w:rStyle w:val="CALIBRI11"/>
              </w:rPr>
              <w:t>Izostao je podatak o načinu utvrđivanja opterećenosti nastavnog kadra</w:t>
            </w:r>
          </w:p>
          <w:p w:rsidR="007452A1" w:rsidRDefault="007452A1">
            <w:pPr>
              <w:spacing w:after="0"/>
              <w:jc w:val="both"/>
            </w:pPr>
          </w:p>
          <w:p w:rsidR="007452A1" w:rsidRPr="003C3E66" w:rsidRDefault="0017552F">
            <w:pPr>
              <w:spacing w:after="0"/>
              <w:jc w:val="both"/>
            </w:pPr>
            <w:r>
              <w:rPr>
                <w:rStyle w:val="CALIBRI11"/>
              </w:rPr>
              <w:t>Ustanova</w:t>
            </w:r>
            <w:r w:rsidR="006678CF">
              <w:rPr>
                <w:rStyle w:val="CALIBRI11"/>
              </w:rPr>
              <w:t xml:space="preserve"> dokumentaciju o izboru i napredovanju nastavnika nije učinila dostupn</w:t>
            </w:r>
            <w:r w:rsidR="003C3E66">
              <w:rPr>
                <w:rStyle w:val="CALIBRI11"/>
              </w:rPr>
              <w:t>om.  Na sajtu Univerziteta nema i</w:t>
            </w:r>
            <w:r w:rsidR="006678CF">
              <w:rPr>
                <w:rStyle w:val="CALIBRI11"/>
              </w:rPr>
              <w:t>zvještaja Komisije (izveštaj o izboru)</w:t>
            </w:r>
            <w:r w:rsidR="003C3E66">
              <w:rPr>
                <w:rStyle w:val="CALIBRI11"/>
              </w:rPr>
              <w:t>.</w:t>
            </w:r>
            <w:r w:rsidR="006678CF">
              <w:rPr>
                <w:rStyle w:val="CALIBRI11"/>
              </w:rPr>
              <w:t xml:space="preserve"> Biografije nastavnika u kojoj se prepoznaju kompetencije u području podučavanja su prilično neusaglašene, zbog čega izostaje mogućnost realnog sagledavanja naučnih i</w:t>
            </w:r>
            <w:r w:rsidR="003C3E66">
              <w:rPr>
                <w:rStyle w:val="CALIBRI11"/>
              </w:rPr>
              <w:t xml:space="preserve"> </w:t>
            </w:r>
            <w:r w:rsidR="006678CF">
              <w:rPr>
                <w:rStyle w:val="CALIBRI11"/>
              </w:rPr>
              <w:t>umetničkih referenci nastavnika</w:t>
            </w:r>
            <w:r w:rsidR="003C3E66">
              <w:rPr>
                <w:rStyle w:val="CALIBRI11"/>
              </w:rPr>
              <w:t>. N</w:t>
            </w:r>
            <w:r w:rsidR="003C3E66" w:rsidRPr="003C3E66">
              <w:rPr>
                <w:rStyle w:val="CALIBRI11"/>
              </w:rPr>
              <w:t xml:space="preserve">a osnovu </w:t>
            </w:r>
            <w:r w:rsidR="003C3E66">
              <w:rPr>
                <w:rStyle w:val="CALIBRI11"/>
              </w:rPr>
              <w:t>dostavljenog</w:t>
            </w:r>
            <w:r w:rsidR="003C3E66" w:rsidRPr="003C3E66">
              <w:rPr>
                <w:rStyle w:val="CALIBRI11"/>
              </w:rPr>
              <w:t xml:space="preserve"> sadržaja u dokumentaciji</w:t>
            </w:r>
            <w:r w:rsidR="003C3E66">
              <w:rPr>
                <w:rStyle w:val="CALIBRI11"/>
              </w:rPr>
              <w:t xml:space="preserve"> za akrediataciju n</w:t>
            </w:r>
            <w:r w:rsidR="003C3E66" w:rsidRPr="003C3E66">
              <w:rPr>
                <w:rStyle w:val="CALIBRI11"/>
              </w:rPr>
              <w:t xml:space="preserve">emoguće je </w:t>
            </w:r>
            <w:r w:rsidR="003C3E66">
              <w:rPr>
                <w:rStyle w:val="CALIBRI11"/>
              </w:rPr>
              <w:t>utvrditi</w:t>
            </w:r>
            <w:r w:rsidR="003C3E66" w:rsidRPr="003C3E66">
              <w:rPr>
                <w:rStyle w:val="CALIBRI11"/>
              </w:rPr>
              <w:t xml:space="preserve"> kvalitet i rezultat</w:t>
            </w:r>
            <w:r w:rsidR="003C3E66">
              <w:rPr>
                <w:rStyle w:val="CALIBRI11"/>
              </w:rPr>
              <w:t xml:space="preserve">e </w:t>
            </w:r>
            <w:r w:rsidR="003C3E66" w:rsidRPr="003C3E66">
              <w:rPr>
                <w:rStyle w:val="CALIBRI11"/>
              </w:rPr>
              <w:t xml:space="preserve">stručnog usavršavanja nastavnika </w:t>
            </w:r>
          </w:p>
          <w:p w:rsidR="003C3E66" w:rsidRDefault="003C3E66">
            <w:pPr>
              <w:spacing w:after="0"/>
              <w:jc w:val="both"/>
            </w:pPr>
          </w:p>
          <w:p w:rsidR="007452A1" w:rsidRDefault="006678CF">
            <w:pPr>
              <w:spacing w:after="0"/>
              <w:jc w:val="both"/>
            </w:pPr>
            <w:r>
              <w:rPr>
                <w:rStyle w:val="CALIBRI11"/>
              </w:rPr>
              <w:t>Na Univerzitetu nema pokrenutog naučnog skupa iz oblasti nauke o umetnosti, muzičke pedagogije ili muzičke teorije</w:t>
            </w:r>
          </w:p>
        </w:tc>
      </w:tr>
      <w:tr w:rsidR="007452A1" w:rsidTr="00B64EA1">
        <w:trPr>
          <w:trHeight w:val="400"/>
        </w:trPr>
        <w:tc>
          <w:tcPr>
            <w:tcW w:w="10206"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7452A1" w:rsidRDefault="006678CF">
            <w:pPr>
              <w:spacing w:after="0"/>
            </w:pPr>
            <w:r>
              <w:rPr>
                <w:rStyle w:val="CALIBRIBOLD11"/>
              </w:rPr>
              <w:lastRenderedPageBreak/>
              <w:t>PREPORUKE ZA UNAPREĐENJE</w:t>
            </w:r>
          </w:p>
        </w:tc>
      </w:tr>
      <w:tr w:rsidR="007452A1" w:rsidTr="00B64EA1">
        <w:trPr>
          <w:trHeight w:val="400"/>
        </w:trPr>
        <w:tc>
          <w:tcPr>
            <w:tcW w:w="10206" w:type="dxa"/>
            <w:gridSpan w:val="4"/>
            <w:tcBorders>
              <w:top w:val="single" w:sz="1" w:space="0" w:color="000000"/>
              <w:left w:val="single" w:sz="1" w:space="0" w:color="000000"/>
              <w:bottom w:val="single" w:sz="1" w:space="0" w:color="000000"/>
              <w:right w:val="single" w:sz="1" w:space="0" w:color="000000"/>
            </w:tcBorders>
          </w:tcPr>
          <w:p w:rsidR="007452A1" w:rsidRDefault="006678CF">
            <w:pPr>
              <w:spacing w:after="0"/>
              <w:jc w:val="both"/>
            </w:pPr>
            <w:r>
              <w:rPr>
                <w:rStyle w:val="CALIBRIBOLD11"/>
              </w:rPr>
              <w:t>B.2 Kreiranje i odobravanje studijskih programa</w:t>
            </w:r>
          </w:p>
          <w:p w:rsidR="007452A1" w:rsidRDefault="007452A1">
            <w:pPr>
              <w:spacing w:after="0"/>
              <w:jc w:val="both"/>
            </w:pPr>
          </w:p>
          <w:p w:rsidR="003C3E66" w:rsidRDefault="003C3E66">
            <w:pPr>
              <w:spacing w:after="0"/>
              <w:jc w:val="both"/>
              <w:rPr>
                <w:rStyle w:val="CALIBRI11"/>
              </w:rPr>
            </w:pPr>
            <w:r>
              <w:rPr>
                <w:rStyle w:val="CALIBRI11"/>
              </w:rPr>
              <w:t xml:space="preserve">Preporuka je da se </w:t>
            </w:r>
            <w:r w:rsidR="00666E4D">
              <w:rPr>
                <w:rStyle w:val="CALIBRI11"/>
              </w:rPr>
              <w:t xml:space="preserve">kroz konsultacije sa zainteresovanim stranama </w:t>
            </w:r>
            <w:r w:rsidR="003B1026">
              <w:rPr>
                <w:rStyle w:val="CALIBRI11"/>
              </w:rPr>
              <w:t>izvrši neophodna analiza NP kojom bi se obezbedilo njiho</w:t>
            </w:r>
            <w:r w:rsidR="00666E4D">
              <w:rPr>
                <w:rStyle w:val="CALIBRI11"/>
              </w:rPr>
              <w:t>vo unapređenje i odgovarajuće izmene.</w:t>
            </w:r>
          </w:p>
          <w:p w:rsidR="00666E4D" w:rsidRDefault="00666E4D">
            <w:pPr>
              <w:spacing w:after="0"/>
              <w:jc w:val="both"/>
              <w:rPr>
                <w:rStyle w:val="CALIBRI11"/>
              </w:rPr>
            </w:pPr>
          </w:p>
          <w:p w:rsidR="007452A1" w:rsidRDefault="006678CF">
            <w:pPr>
              <w:spacing w:after="0"/>
              <w:jc w:val="both"/>
            </w:pPr>
            <w:r>
              <w:rPr>
                <w:rStyle w:val="CALIBRI11"/>
              </w:rPr>
              <w:t xml:space="preserve">Važno je pored vrednovanja pedagoškog rada nastavnog osoblja i nesmetanog napredovanja studenata, obezbediti i monitoring Univerziteta. </w:t>
            </w:r>
          </w:p>
          <w:p w:rsidR="007452A1" w:rsidRDefault="007452A1">
            <w:pPr>
              <w:spacing w:after="0"/>
              <w:jc w:val="both"/>
            </w:pPr>
          </w:p>
          <w:p w:rsidR="007452A1" w:rsidRDefault="006678CF">
            <w:pPr>
              <w:spacing w:after="0"/>
              <w:jc w:val="both"/>
            </w:pPr>
            <w:r>
              <w:rPr>
                <w:rStyle w:val="CALIBRI11"/>
              </w:rPr>
              <w:t>Potrebno je u potpunosti ažurirati knjige predmeta, a što znači proveru i unos tačnih i relevantnih podataka važnih za svaki nastavni predmet.</w:t>
            </w:r>
          </w:p>
          <w:p w:rsidR="007452A1" w:rsidRDefault="007452A1">
            <w:pPr>
              <w:spacing w:after="0"/>
              <w:jc w:val="both"/>
            </w:pPr>
          </w:p>
          <w:p w:rsidR="007452A1" w:rsidRDefault="006678CF">
            <w:pPr>
              <w:spacing w:after="0"/>
              <w:jc w:val="both"/>
            </w:pPr>
            <w:r>
              <w:rPr>
                <w:rStyle w:val="CALIBRI11"/>
              </w:rPr>
              <w:t xml:space="preserve">Potrebno je na SP </w:t>
            </w:r>
            <w:r w:rsidR="00160EEE">
              <w:rPr>
                <w:rStyle w:val="CALIBRI11"/>
              </w:rPr>
              <w:t xml:space="preserve">MAS </w:t>
            </w:r>
            <w:r>
              <w:rPr>
                <w:rStyle w:val="CALIBRI11"/>
              </w:rPr>
              <w:t>Muzika omogućiti studentima uključivanje u naučno-istraživački rad i organizovati obaveznu stručnu praksu</w:t>
            </w:r>
          </w:p>
          <w:p w:rsidR="007452A1" w:rsidRDefault="007452A1">
            <w:pPr>
              <w:spacing w:after="0"/>
              <w:jc w:val="both"/>
            </w:pPr>
          </w:p>
          <w:p w:rsidR="007452A1" w:rsidRDefault="006678CF">
            <w:pPr>
              <w:spacing w:after="0"/>
              <w:jc w:val="both"/>
            </w:pPr>
            <w:r>
              <w:rPr>
                <w:rStyle w:val="CALIBRI11"/>
              </w:rPr>
              <w:t>Potrebno je proveriti u svim knjigama predmeta broj stečenih bodova na predmetima kako bi odgovarao stvarnom opterećenju studenata i proveriti ravnomernu raspoređenost bodova koji se studentima dodeljuje za predispitne i ispitne aktivnosti</w:t>
            </w:r>
          </w:p>
          <w:p w:rsidR="007452A1" w:rsidRDefault="007452A1">
            <w:pPr>
              <w:spacing w:after="0"/>
              <w:jc w:val="both"/>
            </w:pPr>
          </w:p>
          <w:p w:rsidR="007452A1" w:rsidRDefault="006678CF">
            <w:pPr>
              <w:spacing w:after="0"/>
              <w:jc w:val="both"/>
            </w:pPr>
            <w:r>
              <w:rPr>
                <w:rStyle w:val="CALIBRI11"/>
              </w:rPr>
              <w:t xml:space="preserve">Potrebno je obezbediti proveru završnih radova studenata na plagiranje  </w:t>
            </w:r>
          </w:p>
          <w:p w:rsidR="007452A1" w:rsidRDefault="007452A1">
            <w:pPr>
              <w:spacing w:after="0"/>
              <w:jc w:val="both"/>
            </w:pPr>
          </w:p>
          <w:p w:rsidR="007452A1" w:rsidRDefault="006678CF">
            <w:pPr>
              <w:spacing w:after="0"/>
              <w:jc w:val="both"/>
              <w:rPr>
                <w:rStyle w:val="CALIBRI11"/>
              </w:rPr>
            </w:pPr>
            <w:r>
              <w:rPr>
                <w:rStyle w:val="CALIBRI11"/>
              </w:rPr>
              <w:lastRenderedPageBreak/>
              <w:t>Potrebno je jasno definisati ishode učenja i načine vrednovanja u svim knjigama predmeta na studijskom programu MAS</w:t>
            </w:r>
            <w:r w:rsidR="00160EEE">
              <w:rPr>
                <w:rStyle w:val="CALIBRI11"/>
              </w:rPr>
              <w:t xml:space="preserve"> Muzika</w:t>
            </w:r>
            <w:r>
              <w:rPr>
                <w:rStyle w:val="CALIBRI11"/>
              </w:rPr>
              <w:t>.</w:t>
            </w:r>
          </w:p>
          <w:p w:rsidR="003B5611" w:rsidRDefault="003B5611">
            <w:pPr>
              <w:spacing w:after="0"/>
              <w:jc w:val="both"/>
              <w:rPr>
                <w:rStyle w:val="CALIBRI11"/>
              </w:rPr>
            </w:pPr>
          </w:p>
          <w:p w:rsidR="003B5611" w:rsidRDefault="003B5611" w:rsidP="003B5611">
            <w:pPr>
              <w:spacing w:after="0"/>
              <w:jc w:val="both"/>
              <w:rPr>
                <w:rFonts w:ascii="Calibri" w:hAnsi="Calibri"/>
                <w:sz w:val="24"/>
              </w:rPr>
            </w:pPr>
            <w:r w:rsidRPr="003B5611">
              <w:rPr>
                <w:rFonts w:ascii="Calibri" w:hAnsi="Calibri"/>
                <w:sz w:val="24"/>
              </w:rPr>
              <w:t>Kako je praksa obavezan sastavni d</w:t>
            </w:r>
            <w:r>
              <w:rPr>
                <w:rFonts w:ascii="Calibri" w:hAnsi="Calibri"/>
                <w:sz w:val="24"/>
              </w:rPr>
              <w:t>e</w:t>
            </w:r>
            <w:r w:rsidRPr="003B5611">
              <w:rPr>
                <w:rFonts w:ascii="Calibri" w:hAnsi="Calibri"/>
                <w:sz w:val="24"/>
              </w:rPr>
              <w:t xml:space="preserve">o savremenog obrazovanja, </w:t>
            </w:r>
            <w:r>
              <w:rPr>
                <w:rFonts w:ascii="Calibri" w:hAnsi="Calibri"/>
                <w:sz w:val="24"/>
              </w:rPr>
              <w:t xml:space="preserve">potrebno je </w:t>
            </w:r>
            <w:r w:rsidRPr="003B5611">
              <w:rPr>
                <w:rFonts w:ascii="Calibri" w:hAnsi="Calibri"/>
                <w:sz w:val="24"/>
              </w:rPr>
              <w:t xml:space="preserve">precizno </w:t>
            </w:r>
            <w:r>
              <w:rPr>
                <w:rFonts w:ascii="Calibri" w:hAnsi="Calibri"/>
                <w:sz w:val="24"/>
              </w:rPr>
              <w:t xml:space="preserve">definisati je </w:t>
            </w:r>
            <w:r w:rsidRPr="003B5611">
              <w:rPr>
                <w:rFonts w:ascii="Calibri" w:hAnsi="Calibri"/>
                <w:sz w:val="24"/>
              </w:rPr>
              <w:t>u silabusima</w:t>
            </w:r>
            <w:r>
              <w:rPr>
                <w:rFonts w:ascii="Calibri" w:hAnsi="Calibri"/>
                <w:sz w:val="24"/>
              </w:rPr>
              <w:t>.</w:t>
            </w:r>
          </w:p>
          <w:p w:rsidR="00B64EA1" w:rsidRPr="00B64EA1" w:rsidRDefault="00B64EA1" w:rsidP="00B64EA1">
            <w:pPr>
              <w:spacing w:after="0"/>
              <w:jc w:val="both"/>
              <w:rPr>
                <w:rFonts w:ascii="Calibri" w:hAnsi="Calibri"/>
                <w:sz w:val="24"/>
              </w:rPr>
            </w:pPr>
            <w:r>
              <w:rPr>
                <w:rFonts w:ascii="Calibri" w:hAnsi="Calibri"/>
                <w:sz w:val="24"/>
              </w:rPr>
              <w:t xml:space="preserve">Preporuka je da </w:t>
            </w:r>
            <w:r w:rsidR="0017552F">
              <w:rPr>
                <w:rFonts w:ascii="Calibri" w:hAnsi="Calibri"/>
                <w:sz w:val="24"/>
              </w:rPr>
              <w:t>Ustanova</w:t>
            </w:r>
            <w:r>
              <w:rPr>
                <w:rFonts w:ascii="Calibri" w:hAnsi="Calibri"/>
                <w:sz w:val="24"/>
              </w:rPr>
              <w:t xml:space="preserve"> radi</w:t>
            </w:r>
            <w:r w:rsidRPr="00B64EA1">
              <w:rPr>
                <w:rFonts w:ascii="Calibri" w:hAnsi="Calibri"/>
                <w:sz w:val="24"/>
              </w:rPr>
              <w:t xml:space="preserve"> na podsticanju</w:t>
            </w:r>
            <w:r>
              <w:rPr>
                <w:rFonts w:ascii="Calibri" w:hAnsi="Calibri"/>
                <w:sz w:val="24"/>
              </w:rPr>
              <w:t xml:space="preserve"> i </w:t>
            </w:r>
            <w:r w:rsidRPr="00B64EA1">
              <w:rPr>
                <w:rFonts w:ascii="Calibri" w:hAnsi="Calibri"/>
                <w:sz w:val="24"/>
              </w:rPr>
              <w:t>redovnom informisanju nastavnika, nenastavnog osobl</w:t>
            </w:r>
            <w:r>
              <w:rPr>
                <w:rFonts w:ascii="Calibri" w:hAnsi="Calibri"/>
                <w:sz w:val="24"/>
                <w:lang w:val="ru-RU"/>
              </w:rPr>
              <w:t>ј</w:t>
            </w:r>
            <w:r w:rsidRPr="00B64EA1">
              <w:rPr>
                <w:rFonts w:ascii="Calibri" w:hAnsi="Calibri"/>
                <w:sz w:val="24"/>
              </w:rPr>
              <w:t>a i</w:t>
            </w:r>
            <w:r>
              <w:rPr>
                <w:rFonts w:ascii="Calibri" w:hAnsi="Calibri"/>
                <w:sz w:val="24"/>
              </w:rPr>
              <w:t xml:space="preserve"> </w:t>
            </w:r>
            <w:r w:rsidRPr="00B64EA1">
              <w:rPr>
                <w:rFonts w:ascii="Calibri" w:hAnsi="Calibri"/>
                <w:sz w:val="24"/>
              </w:rPr>
              <w:t xml:space="preserve">studenata </w:t>
            </w:r>
            <w:r>
              <w:rPr>
                <w:rFonts w:ascii="Calibri" w:hAnsi="Calibri"/>
                <w:sz w:val="24"/>
              </w:rPr>
              <w:t>u vezi sa</w:t>
            </w:r>
            <w:r w:rsidRPr="00B64EA1">
              <w:rPr>
                <w:rFonts w:ascii="Calibri" w:hAnsi="Calibri"/>
                <w:sz w:val="24"/>
              </w:rPr>
              <w:t xml:space="preserve"> mogućnosti</w:t>
            </w:r>
            <w:r>
              <w:rPr>
                <w:rFonts w:ascii="Calibri" w:hAnsi="Calibri"/>
                <w:sz w:val="24"/>
              </w:rPr>
              <w:t>ma</w:t>
            </w:r>
            <w:r w:rsidRPr="00B64EA1">
              <w:rPr>
                <w:rFonts w:ascii="Calibri" w:hAnsi="Calibri"/>
                <w:sz w:val="24"/>
              </w:rPr>
              <w:t xml:space="preserve"> mobilnosti.</w:t>
            </w:r>
          </w:p>
          <w:p w:rsidR="007452A1" w:rsidRPr="00B64EA1" w:rsidRDefault="007452A1">
            <w:pPr>
              <w:spacing w:after="0"/>
              <w:jc w:val="both"/>
            </w:pPr>
          </w:p>
          <w:p w:rsidR="007452A1" w:rsidRDefault="006678CF">
            <w:pPr>
              <w:spacing w:after="0"/>
              <w:jc w:val="both"/>
            </w:pPr>
            <w:r>
              <w:rPr>
                <w:rStyle w:val="CALIBRIBOLD11"/>
              </w:rPr>
              <w:t>B.3 Učenje, podučavanje i ocjenjivanje usmjereno ka studentu</w:t>
            </w:r>
          </w:p>
          <w:p w:rsidR="007452A1" w:rsidRDefault="007452A1">
            <w:pPr>
              <w:spacing w:after="0"/>
              <w:jc w:val="both"/>
            </w:pPr>
          </w:p>
          <w:p w:rsidR="007452A1" w:rsidRDefault="00B64EA1">
            <w:pPr>
              <w:spacing w:after="0"/>
              <w:jc w:val="both"/>
              <w:rPr>
                <w:rStyle w:val="CALIBRI11"/>
              </w:rPr>
            </w:pPr>
            <w:r>
              <w:rPr>
                <w:rStyle w:val="CALIBRI11"/>
              </w:rPr>
              <w:t xml:space="preserve">Kako je u Statutu Univerziteta naveden </w:t>
            </w:r>
            <w:r w:rsidR="006678CF">
              <w:rPr>
                <w:rStyle w:val="CALIBRI11"/>
              </w:rPr>
              <w:t>način provere znanja i ocenjivanja</w:t>
            </w:r>
            <w:r>
              <w:rPr>
                <w:rStyle w:val="CALIBRI11"/>
              </w:rPr>
              <w:t>, p</w:t>
            </w:r>
            <w:r w:rsidR="006678CF">
              <w:rPr>
                <w:rStyle w:val="CALIBRI11"/>
              </w:rPr>
              <w:t>oželjno je da se ovaj segment nađe i u Pravilniku o nastavi i ispitima</w:t>
            </w:r>
            <w:r>
              <w:rPr>
                <w:rStyle w:val="CALIBRI11"/>
              </w:rPr>
              <w:t>.</w:t>
            </w:r>
          </w:p>
          <w:p w:rsidR="003C3E66" w:rsidRPr="00E31553" w:rsidRDefault="003C3E66" w:rsidP="003C3E66">
            <w:pPr>
              <w:spacing w:after="0"/>
              <w:jc w:val="both"/>
              <w:rPr>
                <w:rFonts w:ascii="Calibri" w:hAnsi="Calibri"/>
                <w:sz w:val="24"/>
              </w:rPr>
            </w:pPr>
            <w:r>
              <w:rPr>
                <w:rFonts w:ascii="Calibri" w:hAnsi="Calibri"/>
                <w:sz w:val="24"/>
              </w:rPr>
              <w:t>Neophodna je</w:t>
            </w:r>
            <w:r w:rsidRPr="00E31553">
              <w:rPr>
                <w:rFonts w:ascii="Calibri" w:hAnsi="Calibri"/>
                <w:sz w:val="24"/>
              </w:rPr>
              <w:t xml:space="preserve"> povratna informacija studenata, kao i analiza </w:t>
            </w:r>
            <w:r>
              <w:rPr>
                <w:rFonts w:ascii="Calibri" w:hAnsi="Calibri"/>
                <w:sz w:val="24"/>
              </w:rPr>
              <w:t xml:space="preserve">dobijenih </w:t>
            </w:r>
            <w:r w:rsidRPr="00E31553">
              <w:rPr>
                <w:rFonts w:ascii="Calibri" w:hAnsi="Calibri"/>
                <w:sz w:val="24"/>
              </w:rPr>
              <w:t>rezultata</w:t>
            </w:r>
            <w:r>
              <w:rPr>
                <w:rFonts w:ascii="Calibri" w:hAnsi="Calibri"/>
                <w:sz w:val="24"/>
              </w:rPr>
              <w:t xml:space="preserve"> nakon sprovedenih anketa u cilju utvrđivanja</w:t>
            </w:r>
            <w:r w:rsidRPr="00E31553">
              <w:rPr>
                <w:rFonts w:ascii="Calibri" w:hAnsi="Calibri"/>
                <w:sz w:val="24"/>
              </w:rPr>
              <w:t xml:space="preserve"> potencijalnih problema i </w:t>
            </w:r>
            <w:r>
              <w:rPr>
                <w:rFonts w:ascii="Calibri" w:hAnsi="Calibri"/>
                <w:sz w:val="24"/>
              </w:rPr>
              <w:t>uvođenja mera radi</w:t>
            </w:r>
            <w:r w:rsidRPr="00E31553">
              <w:rPr>
                <w:rFonts w:ascii="Calibri" w:hAnsi="Calibri"/>
                <w:sz w:val="24"/>
              </w:rPr>
              <w:t xml:space="preserve"> pobol</w:t>
            </w:r>
            <w:r>
              <w:rPr>
                <w:rFonts w:ascii="Calibri" w:hAnsi="Calibri"/>
                <w:sz w:val="24"/>
                <w:lang w:val="ru-RU"/>
              </w:rPr>
              <w:t>ј</w:t>
            </w:r>
            <w:r w:rsidRPr="00E31553">
              <w:rPr>
                <w:rFonts w:ascii="Calibri" w:hAnsi="Calibri"/>
                <w:sz w:val="24"/>
              </w:rPr>
              <w:t>šanja</w:t>
            </w:r>
            <w:r>
              <w:rPr>
                <w:rFonts w:ascii="Calibri" w:hAnsi="Calibri"/>
                <w:sz w:val="24"/>
              </w:rPr>
              <w:t xml:space="preserve"> uslova za učenje, podučavanje i oc</w:t>
            </w:r>
            <w:r w:rsidRPr="00E31553">
              <w:rPr>
                <w:rFonts w:ascii="Calibri" w:hAnsi="Calibri"/>
                <w:sz w:val="24"/>
              </w:rPr>
              <w:t>enjivanje</w:t>
            </w:r>
          </w:p>
          <w:p w:rsidR="007452A1" w:rsidRDefault="007452A1">
            <w:pPr>
              <w:spacing w:after="0"/>
              <w:jc w:val="both"/>
            </w:pPr>
          </w:p>
          <w:p w:rsidR="007452A1" w:rsidRDefault="006678CF">
            <w:pPr>
              <w:spacing w:after="0"/>
              <w:jc w:val="both"/>
            </w:pPr>
            <w:r>
              <w:rPr>
                <w:rStyle w:val="CALIBRIBOLD11"/>
              </w:rPr>
              <w:t>B.5 Nastavno osoblje</w:t>
            </w:r>
          </w:p>
          <w:p w:rsidR="007452A1" w:rsidRDefault="007452A1">
            <w:pPr>
              <w:spacing w:after="0"/>
              <w:jc w:val="both"/>
            </w:pPr>
          </w:p>
          <w:p w:rsidR="005375A1" w:rsidRDefault="005375A1" w:rsidP="005375A1">
            <w:pPr>
              <w:jc w:val="both"/>
              <w:rPr>
                <w:rFonts w:ascii="Calibri" w:hAnsi="Calibri"/>
                <w:sz w:val="22"/>
              </w:rPr>
            </w:pPr>
            <w:r w:rsidRPr="005375A1">
              <w:rPr>
                <w:rFonts w:ascii="Calibri" w:hAnsi="Calibri"/>
                <w:sz w:val="22"/>
              </w:rPr>
              <w:t xml:space="preserve">„Nakon završenih master studija Muzika, kandidati stiču kompetenciju za obavljanje profesije muzičara (solističkog, kamernog ili orkestarskog izvođača, kao i muzičkog pedagoga,), odnosno ovladavaju izvođačkim znanjima i veštinama, kao i neophodnim pedagoškim znanjima i veštinama upotrebljivih u opšteobrazovnim školama (izvođenje nastave Muzičke kulture), osnovnim muzičkim školama (izvođenje nastave glavnog predmeta, solfeđa i teorije muzike); u srednjim muzičkim školama (izvođenje nastave glavnog predmeta, kamerne muzike, harmonije, kontrapunkta, muzičkih oblika i teorije muzike), na visokoškolskim </w:t>
            </w:r>
            <w:r w:rsidR="0017552F">
              <w:rPr>
                <w:rFonts w:ascii="Calibri" w:hAnsi="Calibri"/>
                <w:sz w:val="22"/>
              </w:rPr>
              <w:t>Ustanova</w:t>
            </w:r>
            <w:r w:rsidRPr="005375A1">
              <w:rPr>
                <w:rFonts w:ascii="Calibri" w:hAnsi="Calibri"/>
                <w:sz w:val="22"/>
              </w:rPr>
              <w:t xml:space="preserve">ma, kao i spremnost za nastavak trećeg ciklusa studija”. U skladu sa navodima koje je </w:t>
            </w:r>
            <w:r w:rsidR="0017552F">
              <w:rPr>
                <w:rFonts w:ascii="Calibri" w:hAnsi="Calibri"/>
                <w:sz w:val="22"/>
              </w:rPr>
              <w:t>Ustanova</w:t>
            </w:r>
            <w:r w:rsidRPr="005375A1">
              <w:rPr>
                <w:rFonts w:ascii="Calibri" w:hAnsi="Calibri"/>
                <w:sz w:val="22"/>
              </w:rPr>
              <w:t xml:space="preserve"> priložila preporuka je da se NP SP MAS Muzika koriguje i uskladi sa neophodnim izlaznim kompetencijama. </w:t>
            </w:r>
          </w:p>
          <w:p w:rsidR="005375A1" w:rsidRPr="005375A1" w:rsidRDefault="005375A1" w:rsidP="005375A1">
            <w:pPr>
              <w:jc w:val="both"/>
              <w:rPr>
                <w:rFonts w:ascii="Calibri" w:hAnsi="Calibri"/>
                <w:sz w:val="22"/>
              </w:rPr>
            </w:pPr>
            <w:r w:rsidRPr="005375A1">
              <w:rPr>
                <w:rFonts w:ascii="Calibri" w:hAnsi="Calibri"/>
                <w:sz w:val="22"/>
              </w:rPr>
              <w:t xml:space="preserve">Preporuka je promeniti treću grupu izbornih predmeta na MAS Muzika </w:t>
            </w:r>
            <w:r w:rsidRPr="005375A1">
              <w:rPr>
                <w:rFonts w:ascii="Calibri" w:hAnsi="Calibri"/>
                <w:i/>
                <w:sz w:val="22"/>
              </w:rPr>
              <w:t xml:space="preserve">Muzička teorija i MAS Muzika </w:t>
            </w:r>
            <w:r w:rsidRPr="005375A1">
              <w:rPr>
                <w:rFonts w:ascii="Calibri" w:hAnsi="Calibri"/>
                <w:sz w:val="22"/>
              </w:rPr>
              <w:t xml:space="preserve">Muzička pedagogija. </w:t>
            </w:r>
          </w:p>
          <w:p w:rsidR="005375A1" w:rsidRPr="003053EE" w:rsidRDefault="005375A1" w:rsidP="005375A1">
            <w:pPr>
              <w:jc w:val="both"/>
            </w:pPr>
            <w:r w:rsidRPr="005375A1">
              <w:rPr>
                <w:rFonts w:ascii="Calibri" w:hAnsi="Calibri"/>
                <w:sz w:val="22"/>
              </w:rPr>
              <w:t xml:space="preserve">Knjige nastavnika na SP MAS </w:t>
            </w:r>
            <w:r w:rsidRPr="005375A1">
              <w:rPr>
                <w:rFonts w:ascii="Calibri" w:hAnsi="Calibri"/>
                <w:i/>
                <w:sz w:val="22"/>
              </w:rPr>
              <w:t>Muzika</w:t>
            </w:r>
            <w:r w:rsidRPr="005375A1">
              <w:rPr>
                <w:rFonts w:ascii="Calibri" w:hAnsi="Calibri"/>
                <w:sz w:val="22"/>
              </w:rPr>
              <w:t xml:space="preserve"> (svim smerovima) je neophodno ažurirati koristeći isti obrazaca i uz neophodan unos najnovijih referentnih podataka u vezi sa naučnim, stručnim, odnosno umetničkim</w:t>
            </w:r>
            <w:r w:rsidRPr="005375A1">
              <w:rPr>
                <w:sz w:val="22"/>
              </w:rPr>
              <w:t xml:space="preserve"> </w:t>
            </w:r>
            <w:r w:rsidRPr="005375A1">
              <w:rPr>
                <w:rFonts w:ascii="Calibri" w:hAnsi="Calibri"/>
                <w:sz w:val="22"/>
              </w:rPr>
              <w:t>radom.</w:t>
            </w:r>
          </w:p>
          <w:p w:rsidR="007452A1" w:rsidRDefault="006678CF">
            <w:pPr>
              <w:spacing w:after="0"/>
              <w:jc w:val="both"/>
            </w:pPr>
            <w:r>
              <w:rPr>
                <w:rStyle w:val="CALIBRI11"/>
              </w:rPr>
              <w:t>Potrebno je učiniti javno dostupnim podatke o konkursima nastavnika</w:t>
            </w:r>
            <w:r w:rsidR="00160EEE">
              <w:rPr>
                <w:rStyle w:val="CALIBRI11"/>
              </w:rPr>
              <w:t>.</w:t>
            </w:r>
          </w:p>
          <w:p w:rsidR="005375A1" w:rsidRPr="00160EEE" w:rsidRDefault="006678CF" w:rsidP="0017552F">
            <w:pPr>
              <w:spacing w:after="0"/>
              <w:jc w:val="both"/>
              <w:rPr>
                <w:rFonts w:ascii="Calibri" w:hAnsi="Calibri" w:cs="Calibri"/>
                <w:sz w:val="22"/>
                <w:szCs w:val="22"/>
              </w:rPr>
            </w:pPr>
            <w:r>
              <w:rPr>
                <w:rStyle w:val="CALIBRI11"/>
              </w:rPr>
              <w:t xml:space="preserve">Potrebno je u narednom periodu pokrenuti naučni skup iz oblasti nauke o umetnosti i motivisati studente SP </w:t>
            </w:r>
            <w:r w:rsidR="00160EEE">
              <w:rPr>
                <w:rStyle w:val="CALIBRI11"/>
              </w:rPr>
              <w:t xml:space="preserve">MAS </w:t>
            </w:r>
            <w:r>
              <w:rPr>
                <w:rStyle w:val="CALIBRI11"/>
              </w:rPr>
              <w:t>Muzika i nastavnike</w:t>
            </w:r>
            <w:bookmarkStart w:id="0" w:name="_GoBack"/>
            <w:bookmarkEnd w:id="0"/>
            <w:r>
              <w:rPr>
                <w:rStyle w:val="CALIBRI11"/>
              </w:rPr>
              <w:t xml:space="preserve"> smera Muzička pedagogija i Muzička teorija za organizaciju i aktivno učešće u organizaciji naučnog skupa</w:t>
            </w:r>
            <w:r w:rsidR="005375A1">
              <w:rPr>
                <w:rStyle w:val="CALIBRI11"/>
              </w:rPr>
              <w:t>.</w:t>
            </w:r>
          </w:p>
        </w:tc>
      </w:tr>
    </w:tbl>
    <w:p w:rsidR="007452A1" w:rsidRDefault="007452A1"/>
    <w:p w:rsidR="007452A1" w:rsidRDefault="007452A1">
      <w:pPr>
        <w:spacing w:after="0"/>
      </w:pPr>
    </w:p>
    <w:p w:rsidR="007452A1" w:rsidRDefault="006678CF">
      <w:pPr>
        <w:spacing w:after="0"/>
      </w:pPr>
      <w:r>
        <w:rPr>
          <w:rStyle w:val="CALIBRI12"/>
        </w:rPr>
        <w:t>MJESTO I DATUM _______________________________</w:t>
      </w:r>
    </w:p>
    <w:p w:rsidR="007452A1" w:rsidRDefault="007452A1"/>
    <w:p w:rsidR="007452A1" w:rsidRDefault="006678CF">
      <w:pPr>
        <w:spacing w:after="0"/>
      </w:pPr>
      <w:r>
        <w:rPr>
          <w:rStyle w:val="CALIBRI12"/>
        </w:rPr>
        <w:t>POTPIS RECENZENTA ____________________________</w:t>
      </w:r>
    </w:p>
    <w:p w:rsidR="007452A1" w:rsidRDefault="007452A1"/>
    <w:sectPr w:rsidR="007452A1">
      <w:headerReference w:type="default" r:id="rId8"/>
      <w:footerReference w:type="default" r:id="rId9"/>
      <w:pgSz w:w="11906" w:h="16838"/>
      <w:pgMar w:top="1000" w:right="800" w:bottom="1000" w:left="1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964" w:rsidRDefault="007B1964">
      <w:pPr>
        <w:spacing w:after="0" w:line="240" w:lineRule="auto"/>
      </w:pPr>
      <w:r>
        <w:separator/>
      </w:r>
    </w:p>
  </w:endnote>
  <w:endnote w:type="continuationSeparator" w:id="0">
    <w:p w:rsidR="007B1964" w:rsidRDefault="007B1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EA1" w:rsidRDefault="00B64EA1">
    <w:pPr>
      <w:jc w:val="right"/>
    </w:pPr>
    <w:r>
      <w:t xml:space="preserve">STRANA </w:t>
    </w:r>
    <w:r>
      <w:fldChar w:fldCharType="begin"/>
    </w:r>
    <w:r>
      <w:instrText>PAGE</w:instrText>
    </w:r>
    <w:r>
      <w:fldChar w:fldCharType="separate"/>
    </w:r>
    <w:r w:rsidR="006F0D43">
      <w:rPr>
        <w:noProof/>
      </w:rPr>
      <w:t>9</w:t>
    </w:r>
    <w:r>
      <w:fldChar w:fldCharType="end"/>
    </w:r>
    <w:r>
      <w:t xml:space="preserve"> OD </w:t>
    </w:r>
    <w:r>
      <w:fldChar w:fldCharType="begin"/>
    </w:r>
    <w:r>
      <w:instrText>NUMPAGES</w:instrText>
    </w:r>
    <w:r>
      <w:fldChar w:fldCharType="separate"/>
    </w:r>
    <w:r w:rsidR="006F0D43">
      <w:rPr>
        <w:noProof/>
      </w:rPr>
      <w:t>9</w:t>
    </w:r>
    <w:r>
      <w:fldChar w:fldCharType="end"/>
    </w:r>
  </w:p>
  <w:p w:rsidR="00B64EA1" w:rsidRDefault="00B64EA1">
    <w:pPr>
      <w:spacing w:after="0"/>
    </w:pPr>
    <w:r>
      <w:t>OB AVORS 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964" w:rsidRDefault="007B1964">
      <w:pPr>
        <w:spacing w:after="0" w:line="240" w:lineRule="auto"/>
      </w:pPr>
      <w:r>
        <w:separator/>
      </w:r>
    </w:p>
  </w:footnote>
  <w:footnote w:type="continuationSeparator" w:id="0">
    <w:p w:rsidR="007B1964" w:rsidRDefault="007B19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EA1" w:rsidRDefault="00B64EA1">
    <w:r>
      <w:rPr>
        <w:noProof/>
      </w:rPr>
      <w:drawing>
        <wp:inline distT="0" distB="0" distL="0" distR="0">
          <wp:extent cx="1152525" cy="857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37A31A9"/>
    <w:multiLevelType w:val="hybridMultilevel"/>
    <w:tmpl w:val="C8643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8">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5"/>
  </w:num>
  <w:num w:numId="3">
    <w:abstractNumId w:val="4"/>
  </w:num>
  <w:num w:numId="4">
    <w:abstractNumId w:val="8"/>
  </w:num>
  <w:num w:numId="5">
    <w:abstractNumId w:val="6"/>
  </w:num>
  <w:num w:numId="6">
    <w:abstractNumId w:val="9"/>
  </w:num>
  <w:num w:numId="7">
    <w:abstractNumId w:val="1"/>
  </w:num>
  <w:num w:numId="8">
    <w:abstractNumId w:val="3"/>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2A1"/>
    <w:rsid w:val="00111995"/>
    <w:rsid w:val="00124F49"/>
    <w:rsid w:val="00160EEE"/>
    <w:rsid w:val="0017552F"/>
    <w:rsid w:val="002B6E95"/>
    <w:rsid w:val="003B1026"/>
    <w:rsid w:val="003B5611"/>
    <w:rsid w:val="003C3E66"/>
    <w:rsid w:val="003E13AB"/>
    <w:rsid w:val="00413966"/>
    <w:rsid w:val="005375A1"/>
    <w:rsid w:val="005D7760"/>
    <w:rsid w:val="00666E4D"/>
    <w:rsid w:val="006678CF"/>
    <w:rsid w:val="006F0D43"/>
    <w:rsid w:val="007452A1"/>
    <w:rsid w:val="00747B75"/>
    <w:rsid w:val="007A1B17"/>
    <w:rsid w:val="007B1964"/>
    <w:rsid w:val="007C7C1C"/>
    <w:rsid w:val="008A230D"/>
    <w:rsid w:val="008B6CE9"/>
    <w:rsid w:val="00B35B2F"/>
    <w:rsid w:val="00B64EA1"/>
    <w:rsid w:val="00C743B7"/>
    <w:rsid w:val="00D235AD"/>
    <w:rsid w:val="00DF6871"/>
    <w:rsid w:val="00E31553"/>
    <w:rsid w:val="00E905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 w:type="paragraph" w:styleId="BalloonText">
    <w:name w:val="Balloon Text"/>
    <w:basedOn w:val="Normal"/>
    <w:link w:val="BalloonTextChar"/>
    <w:uiPriority w:val="99"/>
    <w:semiHidden/>
    <w:unhideWhenUsed/>
    <w:rsid w:val="00E90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 w:type="paragraph" w:styleId="BalloonText">
    <w:name w:val="Balloon Text"/>
    <w:basedOn w:val="Normal"/>
    <w:link w:val="BalloonTextChar"/>
    <w:uiPriority w:val="99"/>
    <w:semiHidden/>
    <w:unhideWhenUsed/>
    <w:rsid w:val="00E90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3126</Words>
  <Characters>17822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2022-01-12T17:27:00Z</dcterms:created>
  <dcterms:modified xsi:type="dcterms:W3CDTF">2022-01-12T17:27:00Z</dcterms:modified>
</cp:coreProperties>
</file>